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rFonts w:ascii="Times New Roman"/>
          <w:sz w:val="20"/>
        </w:rPr>
      </w:pPr>
      <w:r>
        <w:rPr>
          <w:rFonts w:ascii="Times New Roman"/>
          <w:sz w:val="20"/>
        </w:rPr>
        <w:drawing>
          <wp:inline distT="0" distB="0" distL="0" distR="0">
            <wp:extent cx="7315200" cy="48006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315200" cy="48006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8"/>
        <w:rPr>
          <w:rFonts w:ascii="Times New Roman"/>
          <w:sz w:val="29"/>
        </w:rPr>
      </w:pPr>
    </w:p>
    <w:p>
      <w:pPr>
        <w:tabs>
          <w:tab w:pos="4554" w:val="left" w:leader="none"/>
          <w:tab w:pos="5184" w:val="left" w:leader="none"/>
          <w:tab w:pos="8306" w:val="left" w:leader="none"/>
        </w:tabs>
        <w:spacing w:before="206"/>
        <w:ind w:left="555" w:right="0" w:firstLine="0"/>
        <w:jc w:val="left"/>
        <w:rPr>
          <w:rFonts w:ascii="Maven Pro"/>
          <w:sz w:val="64"/>
        </w:rPr>
      </w:pPr>
      <w:r>
        <w:rPr>
          <w:rFonts w:ascii="Maven Pro"/>
          <w:color w:val="005992"/>
          <w:sz w:val="64"/>
        </w:rPr>
        <w:t>DEVELOPING</w:t>
        <w:tab/>
        <w:t>A</w:t>
        <w:tab/>
        <w:t>SECURITY</w:t>
        <w:tab/>
      </w:r>
      <w:r>
        <w:rPr>
          <w:rFonts w:ascii="Maven Pro"/>
          <w:color w:val="005992"/>
          <w:spacing w:val="5"/>
          <w:sz w:val="64"/>
        </w:rPr>
        <w:t>PLAN</w:t>
      </w:r>
    </w:p>
    <w:p>
      <w:pPr>
        <w:spacing w:before="281"/>
        <w:ind w:left="555" w:right="0" w:firstLine="0"/>
        <w:jc w:val="left"/>
        <w:rPr>
          <w:rFonts w:ascii="Maven Pro"/>
          <w:sz w:val="28"/>
        </w:rPr>
      </w:pPr>
      <w:r>
        <w:rPr>
          <w:rFonts w:ascii="Maven Pro"/>
          <w:color w:val="F7921E"/>
          <w:sz w:val="28"/>
        </w:rPr>
        <w:t>FOR HOUSE OF WORSHIP ACCOUNTS</w:t>
      </w: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rPr>
          <w:rFonts w:ascii="Maven Pro"/>
          <w:sz w:val="20"/>
        </w:rPr>
      </w:pPr>
    </w:p>
    <w:p>
      <w:pPr>
        <w:pStyle w:val="BodyText"/>
        <w:spacing w:before="8"/>
        <w:rPr>
          <w:rFonts w:ascii="Maven Pro"/>
          <w:sz w:val="24"/>
        </w:rPr>
      </w:pPr>
      <w:r>
        <w:rPr/>
        <w:drawing>
          <wp:anchor distT="0" distB="0" distL="0" distR="0" allowOverlap="1" layoutInCell="1" locked="0" behindDoc="0" simplePos="0" relativeHeight="0">
            <wp:simplePos x="0" y="0"/>
            <wp:positionH relativeFrom="page">
              <wp:posOffset>5436659</wp:posOffset>
            </wp:positionH>
            <wp:positionV relativeFrom="paragraph">
              <wp:posOffset>182338</wp:posOffset>
            </wp:positionV>
            <wp:extent cx="246000" cy="30003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46000" cy="300037"/>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5805444</wp:posOffset>
            </wp:positionH>
            <wp:positionV relativeFrom="paragraph">
              <wp:posOffset>264270</wp:posOffset>
            </wp:positionV>
            <wp:extent cx="159218" cy="19526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59218" cy="195262"/>
                    </a:xfrm>
                    <a:prstGeom prst="rect">
                      <a:avLst/>
                    </a:prstGeom>
                  </pic:spPr>
                </pic:pic>
              </a:graphicData>
            </a:graphic>
          </wp:anchor>
        </w:drawing>
      </w:r>
      <w:r>
        <w:rPr/>
        <w:pict>
          <v:group style="position:absolute;margin-left:473.584412pt;margin-top:20.982393pt;width:18.75pt;height:15.1pt;mso-position-horizontal-relative:page;mso-position-vertical-relative:paragraph;z-index:1072;mso-wrap-distance-left:0;mso-wrap-distance-right:0" coordorigin="9472,420" coordsize="375,302">
            <v:shape style="position:absolute;left:9471;top:419;width:249;height:302" type="#_x0000_t75" stroked="false">
              <v:imagedata r:id="rId8" o:title=""/>
            </v:shape>
            <v:line style="position:absolute" from="9815,420" to="9815,721" stroked="true" strokeweight="3.194pt" strokecolor="#005992">
              <v:stroke dashstyle="solid"/>
            </v:line>
            <w10:wrap type="topAndBottom"/>
          </v:group>
        </w:pict>
      </w:r>
      <w:r>
        <w:rPr/>
        <w:drawing>
          <wp:anchor distT="0" distB="0" distL="0" distR="0" allowOverlap="1" layoutInCell="1" locked="0" behindDoc="0" simplePos="0" relativeHeight="1096">
            <wp:simplePos x="0" y="0"/>
            <wp:positionH relativeFrom="page">
              <wp:posOffset>6305527</wp:posOffset>
            </wp:positionH>
            <wp:positionV relativeFrom="paragraph">
              <wp:posOffset>266486</wp:posOffset>
            </wp:positionV>
            <wp:extent cx="171822" cy="190500"/>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171822" cy="19050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6528721</wp:posOffset>
            </wp:positionH>
            <wp:positionV relativeFrom="paragraph">
              <wp:posOffset>266486</wp:posOffset>
            </wp:positionV>
            <wp:extent cx="171835" cy="190500"/>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171835" cy="190500"/>
                    </a:xfrm>
                    <a:prstGeom prst="rect">
                      <a:avLst/>
                    </a:prstGeom>
                  </pic:spPr>
                </pic:pic>
              </a:graphicData>
            </a:graphic>
          </wp:anchor>
        </w:drawing>
      </w:r>
      <w:r>
        <w:rPr/>
        <w:pict>
          <v:group style="position:absolute;margin-left:531.452087pt;margin-top:20.957693pt;width:37.050pt;height:15.15pt;mso-position-horizontal-relative:page;mso-position-vertical-relative:paragraph;z-index:1144;mso-wrap-distance-left:0;mso-wrap-distance-right:0" coordorigin="10629,419" coordsize="741,303">
            <v:line style="position:absolute" from="10629,692" to="10834,692" stroked="true" strokeweight="2.9pt" strokecolor="#005992">
              <v:stroke dashstyle="solid"/>
            </v:line>
            <v:rect style="position:absolute;left:10629;top:601;width:64;height:62" filled="true" fillcolor="#005992" stroked="false">
              <v:fill type="solid"/>
            </v:rect>
            <v:line style="position:absolute" from="10629,570" to="10815,570" stroked="true" strokeweight="3.1pt" strokecolor="#005992">
              <v:stroke dashstyle="solid"/>
            </v:line>
            <v:rect style="position:absolute;left:10629;top:479;width:64;height:60" filled="true" fillcolor="#005992" stroked="false">
              <v:fill type="solid"/>
            </v:rect>
            <v:line style="position:absolute" from="10629,449" to="10834,449" stroked="true" strokeweight="3pt" strokecolor="#005992">
              <v:stroke dashstyle="solid"/>
            </v:line>
            <v:line style="position:absolute" from="10903,691" to="11106,691" stroked="true" strokeweight="3.1pt" strokecolor="#005992">
              <v:stroke dashstyle="solid"/>
            </v:line>
            <v:line style="position:absolute" from="10935,420" to="10935,660" stroked="true" strokeweight="3.194pt" strokecolor="#005992">
              <v:stroke dashstyle="solid"/>
            </v:line>
            <v:line style="position:absolute" from="11166,691" to="11369,691" stroked="true" strokeweight="3.1pt" strokecolor="#005992">
              <v:stroke dashstyle="solid"/>
            </v:line>
            <v:line style="position:absolute" from="11198,420" to="11198,660" stroked="true" strokeweight="3.194pt" strokecolor="#005992">
              <v:stroke dashstyle="solid"/>
            </v:line>
            <w10:wrap type="topAndBottom"/>
          </v:group>
        </w:pict>
      </w:r>
    </w:p>
    <w:p>
      <w:pPr>
        <w:pStyle w:val="BodyText"/>
        <w:spacing w:before="2"/>
        <w:rPr>
          <w:rFonts w:ascii="Maven Pro"/>
          <w:sz w:val="3"/>
        </w:rPr>
      </w:pPr>
    </w:p>
    <w:p>
      <w:pPr>
        <w:pStyle w:val="BodyText"/>
        <w:spacing w:line="154" w:lineRule="exact"/>
        <w:ind w:left="10021"/>
        <w:rPr>
          <w:rFonts w:ascii="Maven Pro"/>
          <w:sz w:val="15"/>
        </w:rPr>
      </w:pPr>
      <w:r>
        <w:rPr>
          <w:rFonts w:ascii="Maven Pro"/>
          <w:position w:val="-2"/>
          <w:sz w:val="15"/>
        </w:rPr>
        <w:pict>
          <v:group style="width:54.45pt;height:7.75pt;mso-position-horizontal-relative:char;mso-position-vertical-relative:line" coordorigin="0,0" coordsize="1089,155">
            <v:shape style="position:absolute;left:0;top:0;width:150;height:153" type="#_x0000_t75" stroked="false">
              <v:imagedata r:id="rId11" o:title=""/>
            </v:shape>
            <v:shape style="position:absolute;left:200;top:0;width:131;height:155" type="#_x0000_t75" stroked="false">
              <v:imagedata r:id="rId12" o:title=""/>
            </v:shape>
            <v:rect style="position:absolute;left:411;top:35;width:40;height:118" filled="true" fillcolor="#f7921e" stroked="false">
              <v:fill type="solid"/>
            </v:rect>
            <v:rect style="position:absolute;left:367;top:0;width:128;height:36" filled="true" fillcolor="#f7921e" stroked="false">
              <v:fill type="solid"/>
            </v:rect>
            <v:shape style="position:absolute;left:531;top:0;width:318;height:155" type="#_x0000_t75" stroked="false">
              <v:imagedata r:id="rId13" o:title=""/>
            </v:shape>
            <v:shape style="position:absolute;left:884;top:0;width:108;height:153" type="#_x0000_t75" stroked="false">
              <v:imagedata r:id="rId14" o:title=""/>
            </v:shape>
            <v:shape style="position:absolute;left:1025;top:93;width:63;height:62" coordorigin="1026,93" coordsize="63,62" path="m1057,93l1045,96,1035,102,1028,112,1026,122,1026,125,1028,136,1035,145,1045,152,1057,154,1069,152,1075,148,1070,148,1057,148,1044,148,1033,137,1033,110,1044,99,1075,99,1069,96,1057,93xm1075,99l1070,99,1080,110,1080,137,1070,148,1075,148,1079,145,1086,136,1088,125,1088,122,1086,112,1079,102,1075,99xm1063,108l1052,108,1045,109,1045,140,1052,140,1052,127,1068,127,1067,126,1064,125,1064,124,1068,123,1068,122,1052,122,1052,114,1053,114,1054,113,1070,113,1069,112,1067,111,1065,109,1063,108xm1068,127l1059,127,1061,129,1062,132,1063,136,1063,138,1064,140,1072,140,1071,138,1070,137,1069,132,1069,128,1068,127xm1070,113l1061,113,1063,115,1063,121,1060,122,1068,122,1070,121,1070,114,1070,113xe" filled="true" fillcolor="#f7921e" stroked="false">
              <v:path arrowok="t"/>
              <v:fill type="solid"/>
            </v:shape>
          </v:group>
        </w:pict>
      </w:r>
      <w:r>
        <w:rPr>
          <w:rFonts w:ascii="Maven Pro"/>
          <w:position w:val="-2"/>
          <w:sz w:val="15"/>
        </w:rPr>
      </w:r>
    </w:p>
    <w:p>
      <w:pPr>
        <w:pStyle w:val="BodyText"/>
        <w:spacing w:before="8"/>
        <w:rPr>
          <w:rFonts w:ascii="Maven Pro"/>
          <w:sz w:val="18"/>
        </w:rPr>
      </w:pPr>
      <w:r>
        <w:rPr/>
        <w:drawing>
          <wp:anchor distT="0" distB="0" distL="0" distR="0" allowOverlap="1" layoutInCell="1" locked="0" behindDoc="0" simplePos="0" relativeHeight="1192">
            <wp:simplePos x="0" y="0"/>
            <wp:positionH relativeFrom="page">
              <wp:posOffset>5825361</wp:posOffset>
            </wp:positionH>
            <wp:positionV relativeFrom="paragraph">
              <wp:posOffset>144771</wp:posOffset>
            </wp:positionV>
            <wp:extent cx="1404043" cy="114300"/>
            <wp:effectExtent l="0" t="0" r="0" b="0"/>
            <wp:wrapTopAndBottom/>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1404043" cy="114300"/>
                    </a:xfrm>
                    <a:prstGeom prst="rect">
                      <a:avLst/>
                    </a:prstGeom>
                  </pic:spPr>
                </pic:pic>
              </a:graphicData>
            </a:graphic>
          </wp:anchor>
        </w:drawing>
      </w:r>
    </w:p>
    <w:p>
      <w:pPr>
        <w:pStyle w:val="BodyText"/>
        <w:rPr>
          <w:rFonts w:ascii="Maven Pro"/>
          <w:sz w:val="20"/>
        </w:rPr>
      </w:pPr>
    </w:p>
    <w:p>
      <w:pPr>
        <w:pStyle w:val="BodyText"/>
        <w:spacing w:before="3"/>
        <w:rPr>
          <w:rFonts w:ascii="Maven Pro"/>
          <w:sz w:val="25"/>
        </w:rPr>
      </w:pPr>
    </w:p>
    <w:p>
      <w:pPr>
        <w:spacing w:before="127"/>
        <w:ind w:left="555" w:right="0" w:firstLine="0"/>
        <w:jc w:val="left"/>
        <w:rPr>
          <w:rFonts w:ascii="Maven Pro"/>
          <w:sz w:val="16"/>
        </w:rPr>
      </w:pPr>
      <w:r>
        <w:rPr/>
        <w:pict>
          <v:rect style="position:absolute;margin-left:18pt;margin-top:17.830101pt;width:576pt;height:18pt;mso-position-horizontal-relative:page;mso-position-vertical-relative:paragraph;z-index:1216;mso-wrap-distance-left:0;mso-wrap-distance-right:0" filled="true" fillcolor="#f7921e" stroked="false">
            <v:fill type="solid"/>
            <w10:wrap type="topAndBottom"/>
          </v:rect>
        </w:pict>
      </w:r>
      <w:r>
        <w:rPr>
          <w:rFonts w:ascii="Maven Pro"/>
          <w:color w:val="636466"/>
          <w:sz w:val="16"/>
        </w:rPr>
        <w:t>GMRC 2808 HSP (5-18)</w:t>
      </w:r>
    </w:p>
    <w:p>
      <w:pPr>
        <w:spacing w:after="0"/>
        <w:jc w:val="left"/>
        <w:rPr>
          <w:rFonts w:ascii="Maven Pro"/>
          <w:sz w:val="16"/>
        </w:rPr>
        <w:sectPr>
          <w:type w:val="continuous"/>
          <w:pgSz w:w="12240" w:h="15840"/>
          <w:pgMar w:top="360" w:bottom="0" w:left="260" w:right="260"/>
        </w:sectPr>
      </w:pPr>
    </w:p>
    <w:p>
      <w:pPr>
        <w:pStyle w:val="Heading1"/>
        <w:spacing w:line="348" w:lineRule="auto" w:before="140"/>
        <w:ind w:left="460" w:right="482"/>
      </w:pPr>
      <w:r>
        <w:rPr>
          <w:color w:val="F7921E"/>
        </w:rPr>
        <w:t>RECOMMENDATIONS FOR DEVELOPING A SECURITY PLAN FOR HOW ACCOUNTS</w:t>
      </w:r>
    </w:p>
    <w:p>
      <w:pPr>
        <w:pStyle w:val="BodyText"/>
        <w:spacing w:line="278" w:lineRule="auto" w:before="225"/>
        <w:ind w:left="460" w:right="482"/>
      </w:pPr>
      <w:r>
        <w:rPr>
          <w:color w:val="005992"/>
        </w:rPr>
        <w:t>These guidelines were created in response to  requests from some of our House of Worship (HOW) policyholders</w:t>
      </w:r>
      <w:r>
        <w:rPr>
          <w:color w:val="005992"/>
          <w:spacing w:val="16"/>
        </w:rPr>
        <w:t> </w:t>
      </w:r>
      <w:r>
        <w:rPr>
          <w:color w:val="005992"/>
        </w:rPr>
        <w:t>relating</w:t>
      </w:r>
      <w:r>
        <w:rPr>
          <w:color w:val="005992"/>
          <w:spacing w:val="16"/>
        </w:rPr>
        <w:t> </w:t>
      </w:r>
      <w:r>
        <w:rPr>
          <w:color w:val="005992"/>
        </w:rPr>
        <w:t>to</w:t>
      </w:r>
      <w:r>
        <w:rPr>
          <w:color w:val="005992"/>
          <w:spacing w:val="16"/>
        </w:rPr>
        <w:t> </w:t>
      </w:r>
      <w:r>
        <w:rPr>
          <w:color w:val="005992"/>
        </w:rPr>
        <w:t>the</w:t>
      </w:r>
      <w:r>
        <w:rPr>
          <w:color w:val="005992"/>
          <w:spacing w:val="16"/>
        </w:rPr>
        <w:t> </w:t>
      </w:r>
      <w:r>
        <w:rPr>
          <w:color w:val="005992"/>
        </w:rPr>
        <w:t>possession</w:t>
      </w:r>
      <w:r>
        <w:rPr>
          <w:color w:val="005992"/>
          <w:spacing w:val="16"/>
        </w:rPr>
        <w:t> </w:t>
      </w:r>
      <w:r>
        <w:rPr>
          <w:color w:val="005992"/>
        </w:rPr>
        <w:t>and</w:t>
      </w:r>
      <w:r>
        <w:rPr>
          <w:color w:val="005992"/>
          <w:spacing w:val="16"/>
        </w:rPr>
        <w:t> </w:t>
      </w:r>
      <w:r>
        <w:rPr>
          <w:color w:val="005992"/>
        </w:rPr>
        <w:t>use</w:t>
      </w:r>
      <w:r>
        <w:rPr>
          <w:color w:val="005992"/>
          <w:spacing w:val="16"/>
        </w:rPr>
        <w:t> </w:t>
      </w:r>
      <w:r>
        <w:rPr>
          <w:color w:val="005992"/>
        </w:rPr>
        <w:t>of</w:t>
      </w:r>
    </w:p>
    <w:p>
      <w:pPr>
        <w:pStyle w:val="BodyText"/>
        <w:spacing w:line="278" w:lineRule="auto"/>
        <w:ind w:left="460" w:right="92"/>
      </w:pPr>
      <w:r>
        <w:rPr>
          <w:color w:val="005992"/>
        </w:rPr>
        <w:t>weapons in a church, synagogue, or mosque by security personnel. Grinnell Mutual recognizes that the use of a lethal weapon is contrary to the religious doctrines of many of our HOW policyholders. Grinnell Mutual fully supports the right of our HOW policyholders to ban the possession of all lethal weapons from the sanctuary and any church-owned properties.</w:t>
      </w:r>
    </w:p>
    <w:p>
      <w:pPr>
        <w:pStyle w:val="BodyText"/>
        <w:spacing w:line="278" w:lineRule="auto" w:before="178"/>
        <w:ind w:left="460" w:right="420"/>
      </w:pPr>
      <w:r>
        <w:rPr>
          <w:color w:val="005992"/>
        </w:rPr>
        <w:t>However, Grinnell Mutual also wants to provide guidance to our HOW  customers  who  have  made the decision to authorize the presence of firearms or other weapons in a house of worship, as a means of protecting</w:t>
      </w:r>
      <w:r>
        <w:rPr>
          <w:color w:val="005992"/>
          <w:spacing w:val="25"/>
        </w:rPr>
        <w:t> </w:t>
      </w:r>
      <w:r>
        <w:rPr>
          <w:color w:val="005992"/>
        </w:rPr>
        <w:t>parishioners.</w:t>
      </w:r>
      <w:r>
        <w:rPr>
          <w:color w:val="005992"/>
          <w:spacing w:val="25"/>
        </w:rPr>
        <w:t> </w:t>
      </w:r>
      <w:r>
        <w:rPr>
          <w:color w:val="005992"/>
        </w:rPr>
        <w:t>In</w:t>
      </w:r>
      <w:r>
        <w:rPr>
          <w:color w:val="005992"/>
          <w:spacing w:val="25"/>
        </w:rPr>
        <w:t> </w:t>
      </w:r>
      <w:r>
        <w:rPr>
          <w:color w:val="005992"/>
        </w:rPr>
        <w:t>offering</w:t>
      </w:r>
      <w:r>
        <w:rPr>
          <w:color w:val="005992"/>
          <w:spacing w:val="25"/>
        </w:rPr>
        <w:t> </w:t>
      </w:r>
      <w:r>
        <w:rPr>
          <w:color w:val="005992"/>
        </w:rPr>
        <w:t>these</w:t>
      </w:r>
      <w:r>
        <w:rPr>
          <w:color w:val="005992"/>
          <w:spacing w:val="25"/>
        </w:rPr>
        <w:t> </w:t>
      </w:r>
      <w:r>
        <w:rPr>
          <w:color w:val="005992"/>
        </w:rPr>
        <w:t>guidelines,</w:t>
      </w:r>
    </w:p>
    <w:p>
      <w:pPr>
        <w:pStyle w:val="BodyText"/>
        <w:spacing w:line="278" w:lineRule="auto"/>
        <w:ind w:left="460" w:right="482"/>
      </w:pPr>
      <w:r>
        <w:rPr>
          <w:color w:val="005992"/>
        </w:rPr>
        <w:t>Grinnell Mutual neither affirms nor disaffirms </w:t>
      </w:r>
      <w:r>
        <w:rPr>
          <w:color w:val="005992"/>
          <w:spacing w:val="1"/>
        </w:rPr>
        <w:t>the </w:t>
      </w:r>
      <w:r>
        <w:rPr>
          <w:color w:val="005992"/>
        </w:rPr>
        <w:t>propriety of these decisions, but does admit the right of the supervisors of a house of worship to make this independent</w:t>
      </w:r>
      <w:r>
        <w:rPr>
          <w:color w:val="005992"/>
          <w:spacing w:val="7"/>
        </w:rPr>
        <w:t> </w:t>
      </w:r>
      <w:r>
        <w:rPr>
          <w:color w:val="005992"/>
        </w:rPr>
        <w:t>decision.</w:t>
      </w:r>
    </w:p>
    <w:p>
      <w:pPr>
        <w:pStyle w:val="ListParagraph"/>
        <w:numPr>
          <w:ilvl w:val="0"/>
          <w:numId w:val="1"/>
        </w:numPr>
        <w:tabs>
          <w:tab w:pos="640" w:val="left" w:leader="none"/>
        </w:tabs>
        <w:spacing w:line="278" w:lineRule="auto" w:before="179" w:after="0"/>
        <w:ind w:left="640" w:right="38" w:hanging="180"/>
        <w:jc w:val="left"/>
        <w:rPr>
          <w:sz w:val="19"/>
        </w:rPr>
      </w:pPr>
      <w:r>
        <w:rPr>
          <w:color w:val="636666"/>
          <w:sz w:val="19"/>
        </w:rPr>
        <w:t>Grinnell Mutual does not encourage  or  discourage HOW accounts from posting  signage  related  to firearms on their premises. This is a decision that  should be made by the HOW policyholder. If </w:t>
      </w:r>
      <w:r>
        <w:rPr>
          <w:color w:val="636666"/>
          <w:spacing w:val="1"/>
          <w:sz w:val="19"/>
        </w:rPr>
        <w:t>you   </w:t>
      </w:r>
      <w:r>
        <w:rPr>
          <w:color w:val="636666"/>
          <w:sz w:val="19"/>
        </w:rPr>
        <w:t>choose to post a “no  firearms”  sign,  please  consult with a local lawyer or law enforcement to review </w:t>
      </w:r>
      <w:r>
        <w:rPr>
          <w:color w:val="636666"/>
          <w:spacing w:val="1"/>
          <w:sz w:val="19"/>
        </w:rPr>
        <w:t>the </w:t>
      </w:r>
      <w:r>
        <w:rPr>
          <w:color w:val="636666"/>
          <w:sz w:val="19"/>
        </w:rPr>
        <w:t>signage requirements for your state. Some states have regulations regarding the content and dimensions of these</w:t>
      </w:r>
      <w:r>
        <w:rPr>
          <w:color w:val="636666"/>
          <w:spacing w:val="6"/>
          <w:sz w:val="19"/>
        </w:rPr>
        <w:t> </w:t>
      </w:r>
      <w:r>
        <w:rPr>
          <w:color w:val="636666"/>
          <w:spacing w:val="1"/>
          <w:sz w:val="19"/>
        </w:rPr>
        <w:t>signs.</w:t>
      </w:r>
    </w:p>
    <w:p>
      <w:pPr>
        <w:pStyle w:val="ListParagraph"/>
        <w:numPr>
          <w:ilvl w:val="0"/>
          <w:numId w:val="1"/>
        </w:numPr>
        <w:tabs>
          <w:tab w:pos="640" w:val="left" w:leader="none"/>
        </w:tabs>
        <w:spacing w:line="278" w:lineRule="auto" w:before="179" w:after="0"/>
        <w:ind w:left="640" w:right="89" w:hanging="180"/>
        <w:jc w:val="left"/>
        <w:rPr>
          <w:sz w:val="19"/>
        </w:rPr>
      </w:pPr>
      <w:r>
        <w:rPr>
          <w:color w:val="636666"/>
          <w:sz w:val="19"/>
        </w:rPr>
        <w:t>Grinnell Mutual recommends that the HOW use </w:t>
      </w:r>
      <w:r>
        <w:rPr>
          <w:color w:val="636666"/>
          <w:spacing w:val="1"/>
          <w:sz w:val="19"/>
        </w:rPr>
        <w:t>either  </w:t>
      </w:r>
      <w:r>
        <w:rPr>
          <w:color w:val="636666"/>
          <w:sz w:val="19"/>
        </w:rPr>
        <w:t>a private security service or off-duty law enforcement personnel</w:t>
      </w:r>
      <w:r>
        <w:rPr>
          <w:color w:val="636666"/>
          <w:spacing w:val="17"/>
          <w:sz w:val="19"/>
        </w:rPr>
        <w:t> </w:t>
      </w:r>
      <w:r>
        <w:rPr>
          <w:color w:val="636666"/>
          <w:sz w:val="19"/>
        </w:rPr>
        <w:t>for</w:t>
      </w:r>
      <w:r>
        <w:rPr>
          <w:color w:val="636666"/>
          <w:spacing w:val="17"/>
          <w:sz w:val="19"/>
        </w:rPr>
        <w:t> </w:t>
      </w:r>
      <w:r>
        <w:rPr>
          <w:color w:val="636666"/>
          <w:sz w:val="19"/>
        </w:rPr>
        <w:t>protection</w:t>
      </w:r>
      <w:r>
        <w:rPr>
          <w:color w:val="636666"/>
          <w:spacing w:val="17"/>
          <w:sz w:val="19"/>
        </w:rPr>
        <w:t> </w:t>
      </w:r>
      <w:r>
        <w:rPr>
          <w:color w:val="636666"/>
          <w:sz w:val="19"/>
        </w:rPr>
        <w:t>at</w:t>
      </w:r>
      <w:r>
        <w:rPr>
          <w:color w:val="636666"/>
          <w:spacing w:val="17"/>
          <w:sz w:val="19"/>
        </w:rPr>
        <w:t> </w:t>
      </w:r>
      <w:r>
        <w:rPr>
          <w:color w:val="636666"/>
          <w:sz w:val="19"/>
        </w:rPr>
        <w:t>the</w:t>
      </w:r>
      <w:r>
        <w:rPr>
          <w:color w:val="636666"/>
          <w:spacing w:val="17"/>
          <w:sz w:val="19"/>
        </w:rPr>
        <w:t> </w:t>
      </w:r>
      <w:r>
        <w:rPr>
          <w:color w:val="636666"/>
          <w:sz w:val="19"/>
        </w:rPr>
        <w:t>religious</w:t>
      </w:r>
      <w:r>
        <w:rPr>
          <w:color w:val="636666"/>
          <w:spacing w:val="17"/>
          <w:sz w:val="19"/>
        </w:rPr>
        <w:t> </w:t>
      </w:r>
      <w:r>
        <w:rPr>
          <w:color w:val="636666"/>
          <w:sz w:val="19"/>
        </w:rPr>
        <w:t>properties.</w:t>
      </w:r>
    </w:p>
    <w:p>
      <w:pPr>
        <w:pStyle w:val="BodyText"/>
        <w:spacing w:line="278" w:lineRule="auto"/>
        <w:ind w:left="640" w:right="522"/>
      </w:pPr>
      <w:r>
        <w:rPr>
          <w:color w:val="636666"/>
        </w:rPr>
        <w:t>These persons are trained  to  react  to  situations in</w:t>
      </w:r>
      <w:r>
        <w:rPr>
          <w:color w:val="636666"/>
          <w:spacing w:val="20"/>
        </w:rPr>
        <w:t> </w:t>
      </w:r>
      <w:r>
        <w:rPr>
          <w:color w:val="636666"/>
        </w:rPr>
        <w:t>which</w:t>
      </w:r>
      <w:r>
        <w:rPr>
          <w:color w:val="636666"/>
          <w:spacing w:val="20"/>
        </w:rPr>
        <w:t> </w:t>
      </w:r>
      <w:r>
        <w:rPr>
          <w:color w:val="636666"/>
        </w:rPr>
        <w:t>invitees</w:t>
      </w:r>
      <w:r>
        <w:rPr>
          <w:color w:val="636666"/>
          <w:spacing w:val="20"/>
        </w:rPr>
        <w:t> </w:t>
      </w:r>
      <w:r>
        <w:rPr>
          <w:color w:val="636666"/>
        </w:rPr>
        <w:t>or</w:t>
      </w:r>
      <w:r>
        <w:rPr>
          <w:color w:val="636666"/>
          <w:spacing w:val="20"/>
        </w:rPr>
        <w:t> </w:t>
      </w:r>
      <w:r>
        <w:rPr>
          <w:color w:val="636666"/>
        </w:rPr>
        <w:t>intruders</w:t>
      </w:r>
      <w:r>
        <w:rPr>
          <w:color w:val="636666"/>
          <w:spacing w:val="20"/>
        </w:rPr>
        <w:t> </w:t>
      </w:r>
      <w:r>
        <w:rPr>
          <w:color w:val="636666"/>
        </w:rPr>
        <w:t>adopt</w:t>
      </w:r>
      <w:r>
        <w:rPr>
          <w:color w:val="636666"/>
          <w:spacing w:val="20"/>
        </w:rPr>
        <w:t> </w:t>
      </w:r>
      <w:r>
        <w:rPr>
          <w:color w:val="636666"/>
        </w:rPr>
        <w:t>aggressive</w:t>
      </w:r>
      <w:r>
        <w:rPr>
          <w:color w:val="636666"/>
          <w:spacing w:val="20"/>
        </w:rPr>
        <w:t> </w:t>
      </w:r>
      <w:r>
        <w:rPr>
          <w:color w:val="636666"/>
        </w:rPr>
        <w:t>or</w:t>
      </w:r>
    </w:p>
    <w:p>
      <w:pPr>
        <w:pStyle w:val="BodyText"/>
        <w:spacing w:line="278" w:lineRule="auto"/>
        <w:ind w:left="640" w:right="92"/>
      </w:pPr>
      <w:r>
        <w:rPr>
          <w:color w:val="636666"/>
        </w:rPr>
        <w:t>dangerous postures toward others. In many instances, these individuals are also trained to de-escalate confrontational circumstances which might lead to injury, rather than employing immediate force to subdue the aggressive</w:t>
      </w:r>
      <w:r>
        <w:rPr>
          <w:color w:val="636666"/>
          <w:spacing w:val="26"/>
        </w:rPr>
        <w:t> </w:t>
      </w:r>
      <w:r>
        <w:rPr>
          <w:color w:val="636666"/>
        </w:rPr>
        <w:t>individual.</w:t>
      </w:r>
    </w:p>
    <w:p>
      <w:pPr>
        <w:pStyle w:val="ListParagraph"/>
        <w:numPr>
          <w:ilvl w:val="0"/>
          <w:numId w:val="1"/>
        </w:numPr>
        <w:tabs>
          <w:tab w:pos="640" w:val="left" w:leader="none"/>
        </w:tabs>
        <w:spacing w:line="278" w:lineRule="auto" w:before="178" w:after="0"/>
        <w:ind w:left="640" w:right="106" w:hanging="180"/>
        <w:jc w:val="left"/>
        <w:rPr>
          <w:sz w:val="19"/>
        </w:rPr>
      </w:pPr>
      <w:r>
        <w:rPr>
          <w:color w:val="636666"/>
          <w:sz w:val="19"/>
        </w:rPr>
        <w:t>If a private security service is employed to protect </w:t>
      </w:r>
      <w:r>
        <w:rPr>
          <w:color w:val="636666"/>
          <w:spacing w:val="1"/>
          <w:sz w:val="19"/>
        </w:rPr>
        <w:t>the </w:t>
      </w:r>
      <w:r>
        <w:rPr>
          <w:color w:val="636666"/>
          <w:sz w:val="19"/>
        </w:rPr>
        <w:t>parishioners and members of the staff, the security service should furnish certificates of insurance on an annual basis to the HOW, establishing that the service</w:t>
      </w:r>
      <w:r>
        <w:rPr>
          <w:color w:val="636466"/>
          <w:sz w:val="19"/>
        </w:rPr>
        <w:t> has</w:t>
      </w:r>
      <w:r>
        <w:rPr>
          <w:color w:val="636466"/>
          <w:spacing w:val="17"/>
          <w:sz w:val="19"/>
        </w:rPr>
        <w:t> </w:t>
      </w:r>
      <w:r>
        <w:rPr>
          <w:color w:val="636466"/>
          <w:sz w:val="19"/>
        </w:rPr>
        <w:t>both</w:t>
      </w:r>
      <w:r>
        <w:rPr>
          <w:color w:val="636466"/>
          <w:spacing w:val="17"/>
          <w:sz w:val="19"/>
        </w:rPr>
        <w:t> </w:t>
      </w:r>
      <w:r>
        <w:rPr>
          <w:color w:val="636466"/>
          <w:sz w:val="19"/>
        </w:rPr>
        <w:t>general</w:t>
      </w:r>
      <w:r>
        <w:rPr>
          <w:color w:val="636466"/>
          <w:spacing w:val="17"/>
          <w:sz w:val="19"/>
        </w:rPr>
        <w:t> </w:t>
      </w:r>
      <w:r>
        <w:rPr>
          <w:color w:val="636466"/>
          <w:sz w:val="19"/>
        </w:rPr>
        <w:t>liability</w:t>
      </w:r>
      <w:r>
        <w:rPr>
          <w:color w:val="636466"/>
          <w:spacing w:val="17"/>
          <w:sz w:val="19"/>
        </w:rPr>
        <w:t> </w:t>
      </w:r>
      <w:r>
        <w:rPr>
          <w:color w:val="636466"/>
          <w:sz w:val="19"/>
        </w:rPr>
        <w:t>and</w:t>
      </w:r>
      <w:r>
        <w:rPr>
          <w:color w:val="636466"/>
          <w:spacing w:val="17"/>
          <w:sz w:val="19"/>
        </w:rPr>
        <w:t> </w:t>
      </w:r>
      <w:r>
        <w:rPr>
          <w:color w:val="636466"/>
          <w:sz w:val="19"/>
        </w:rPr>
        <w:t>workers’</w:t>
      </w:r>
      <w:r>
        <w:rPr>
          <w:color w:val="636466"/>
          <w:spacing w:val="17"/>
          <w:sz w:val="19"/>
        </w:rPr>
        <w:t> </w:t>
      </w:r>
      <w:r>
        <w:rPr>
          <w:color w:val="636466"/>
          <w:spacing w:val="1"/>
          <w:sz w:val="19"/>
        </w:rPr>
        <w:t>compensation</w:t>
      </w:r>
    </w:p>
    <w:p>
      <w:pPr>
        <w:pStyle w:val="BodyText"/>
        <w:spacing w:line="278" w:lineRule="auto" w:before="82"/>
        <w:ind w:left="640" w:right="289"/>
      </w:pPr>
      <w:r>
        <w:rPr/>
        <w:br w:type="column"/>
      </w:r>
      <w:r>
        <w:rPr>
          <w:color w:val="636466"/>
        </w:rPr>
        <w:t>insurance for the activities of the security personnel at the place of worship.</w:t>
      </w:r>
    </w:p>
    <w:p>
      <w:pPr>
        <w:pStyle w:val="ListParagraph"/>
        <w:numPr>
          <w:ilvl w:val="0"/>
          <w:numId w:val="1"/>
        </w:numPr>
        <w:tabs>
          <w:tab w:pos="640" w:val="left" w:leader="none"/>
        </w:tabs>
        <w:spacing w:line="278" w:lineRule="auto" w:before="180" w:after="0"/>
        <w:ind w:left="640" w:right="213" w:hanging="180"/>
        <w:jc w:val="left"/>
        <w:rPr>
          <w:sz w:val="19"/>
        </w:rPr>
      </w:pPr>
      <w:r>
        <w:rPr>
          <w:color w:val="636466"/>
          <w:sz w:val="19"/>
        </w:rPr>
        <w:t>Arming a select group of parishioners is </w:t>
      </w:r>
      <w:r>
        <w:rPr>
          <w:color w:val="636466"/>
          <w:spacing w:val="1"/>
          <w:sz w:val="19"/>
        </w:rPr>
        <w:t>discouraged. </w:t>
      </w:r>
      <w:r>
        <w:rPr>
          <w:color w:val="636466"/>
          <w:sz w:val="19"/>
        </w:rPr>
        <w:t>Notwithstanding this advice of Grinnell Mutual, if </w:t>
      </w:r>
      <w:r>
        <w:rPr>
          <w:color w:val="636466"/>
          <w:spacing w:val="1"/>
          <w:sz w:val="19"/>
        </w:rPr>
        <w:t>the </w:t>
      </w:r>
      <w:r>
        <w:rPr>
          <w:color w:val="636466"/>
          <w:sz w:val="19"/>
        </w:rPr>
        <w:t>HOW leadership decides to allow a limited number of parishioners to carry weapons into the HOW facility,     a thorough review of the written  security  plan  </w:t>
      </w:r>
      <w:r>
        <w:rPr>
          <w:color w:val="636466"/>
          <w:spacing w:val="1"/>
          <w:sz w:val="19"/>
        </w:rPr>
        <w:t>and </w:t>
      </w:r>
      <w:r>
        <w:rPr>
          <w:color w:val="636466"/>
          <w:sz w:val="19"/>
        </w:rPr>
        <w:t>any use-of-force guidelines in place will be conducted by Grinnell Mutual underwriting. At a minimum, </w:t>
      </w:r>
      <w:r>
        <w:rPr>
          <w:color w:val="636466"/>
          <w:spacing w:val="1"/>
          <w:sz w:val="19"/>
        </w:rPr>
        <w:t>the </w:t>
      </w:r>
      <w:r>
        <w:rPr>
          <w:color w:val="636466"/>
          <w:sz w:val="19"/>
        </w:rPr>
        <w:t>following will be</w:t>
      </w:r>
      <w:r>
        <w:rPr>
          <w:color w:val="636466"/>
          <w:spacing w:val="25"/>
          <w:sz w:val="19"/>
        </w:rPr>
        <w:t> </w:t>
      </w:r>
      <w:r>
        <w:rPr>
          <w:color w:val="636466"/>
          <w:sz w:val="19"/>
        </w:rPr>
        <w:t>evaluated:</w:t>
      </w:r>
    </w:p>
    <w:p>
      <w:pPr>
        <w:pStyle w:val="ListParagraph"/>
        <w:numPr>
          <w:ilvl w:val="1"/>
          <w:numId w:val="1"/>
        </w:numPr>
        <w:tabs>
          <w:tab w:pos="1180" w:val="left" w:leader="none"/>
        </w:tabs>
        <w:spacing w:line="278" w:lineRule="auto" w:before="179" w:after="0"/>
        <w:ind w:left="1180" w:right="310" w:hanging="180"/>
        <w:jc w:val="left"/>
        <w:rPr>
          <w:sz w:val="19"/>
        </w:rPr>
      </w:pPr>
      <w:r>
        <w:rPr>
          <w:color w:val="636466"/>
          <w:sz w:val="19"/>
        </w:rPr>
        <w:t>A list of individuals that are on this informal security force should be maintained and made available to Grinnell Mutual for review upon request.</w:t>
      </w:r>
    </w:p>
    <w:p>
      <w:pPr>
        <w:pStyle w:val="ListParagraph"/>
        <w:numPr>
          <w:ilvl w:val="1"/>
          <w:numId w:val="1"/>
        </w:numPr>
        <w:tabs>
          <w:tab w:pos="1180" w:val="left" w:leader="none"/>
        </w:tabs>
        <w:spacing w:line="278" w:lineRule="auto" w:before="179" w:after="0"/>
        <w:ind w:left="1180" w:right="285" w:hanging="180"/>
        <w:jc w:val="left"/>
        <w:rPr>
          <w:sz w:val="19"/>
        </w:rPr>
      </w:pPr>
      <w:r>
        <w:rPr>
          <w:color w:val="636466"/>
          <w:sz w:val="19"/>
        </w:rPr>
        <w:t>Documentation should be provided confirming all the individuals meet all federal, state, </w:t>
      </w:r>
      <w:r>
        <w:rPr>
          <w:color w:val="636466"/>
          <w:spacing w:val="1"/>
          <w:sz w:val="19"/>
        </w:rPr>
        <w:t>and </w:t>
      </w:r>
      <w:r>
        <w:rPr>
          <w:color w:val="636466"/>
          <w:sz w:val="19"/>
        </w:rPr>
        <w:t>local laws related to carrying a</w:t>
      </w:r>
      <w:r>
        <w:rPr>
          <w:color w:val="636466"/>
          <w:spacing w:val="17"/>
          <w:sz w:val="19"/>
        </w:rPr>
        <w:t> </w:t>
      </w:r>
      <w:r>
        <w:rPr>
          <w:color w:val="636466"/>
          <w:sz w:val="19"/>
        </w:rPr>
        <w:t>firearm.</w:t>
      </w:r>
    </w:p>
    <w:p>
      <w:pPr>
        <w:pStyle w:val="ListParagraph"/>
        <w:numPr>
          <w:ilvl w:val="1"/>
          <w:numId w:val="1"/>
        </w:numPr>
        <w:tabs>
          <w:tab w:pos="1180" w:val="left" w:leader="none"/>
        </w:tabs>
        <w:spacing w:line="278" w:lineRule="auto" w:before="180" w:after="0"/>
        <w:ind w:left="1180" w:right="359" w:hanging="180"/>
        <w:jc w:val="left"/>
        <w:rPr>
          <w:sz w:val="19"/>
        </w:rPr>
      </w:pPr>
      <w:r>
        <w:rPr>
          <w:color w:val="636466"/>
          <w:sz w:val="19"/>
        </w:rPr>
        <w:t>Initial training of these individuals in dealing with an armed intruder  on  premises  </w:t>
      </w:r>
      <w:r>
        <w:rPr>
          <w:color w:val="636466"/>
          <w:spacing w:val="1"/>
          <w:sz w:val="19"/>
        </w:rPr>
        <w:t>should </w:t>
      </w:r>
      <w:r>
        <w:rPr>
          <w:color w:val="636466"/>
          <w:sz w:val="19"/>
        </w:rPr>
        <w:t>be</w:t>
      </w:r>
      <w:r>
        <w:rPr>
          <w:color w:val="636466"/>
          <w:spacing w:val="20"/>
          <w:sz w:val="19"/>
        </w:rPr>
        <w:t> </w:t>
      </w:r>
      <w:r>
        <w:rPr>
          <w:color w:val="636466"/>
          <w:sz w:val="19"/>
        </w:rPr>
        <w:t>provided</w:t>
      </w:r>
      <w:r>
        <w:rPr>
          <w:color w:val="636466"/>
          <w:spacing w:val="20"/>
          <w:sz w:val="19"/>
        </w:rPr>
        <w:t> </w:t>
      </w:r>
      <w:r>
        <w:rPr>
          <w:color w:val="636466"/>
          <w:sz w:val="19"/>
        </w:rPr>
        <w:t>by</w:t>
      </w:r>
      <w:r>
        <w:rPr>
          <w:color w:val="636466"/>
          <w:spacing w:val="20"/>
          <w:sz w:val="19"/>
        </w:rPr>
        <w:t> </w:t>
      </w:r>
      <w:r>
        <w:rPr>
          <w:color w:val="636466"/>
          <w:sz w:val="19"/>
        </w:rPr>
        <w:t>local</w:t>
      </w:r>
      <w:r>
        <w:rPr>
          <w:color w:val="636466"/>
          <w:spacing w:val="20"/>
          <w:sz w:val="19"/>
        </w:rPr>
        <w:t> </w:t>
      </w:r>
      <w:r>
        <w:rPr>
          <w:color w:val="636466"/>
          <w:sz w:val="19"/>
        </w:rPr>
        <w:t>or</w:t>
      </w:r>
      <w:r>
        <w:rPr>
          <w:color w:val="636466"/>
          <w:spacing w:val="20"/>
          <w:sz w:val="19"/>
        </w:rPr>
        <w:t> </w:t>
      </w:r>
      <w:r>
        <w:rPr>
          <w:color w:val="636466"/>
          <w:sz w:val="19"/>
        </w:rPr>
        <w:t>state</w:t>
      </w:r>
      <w:r>
        <w:rPr>
          <w:color w:val="636466"/>
          <w:spacing w:val="20"/>
          <w:sz w:val="19"/>
        </w:rPr>
        <w:t> </w:t>
      </w:r>
      <w:r>
        <w:rPr>
          <w:color w:val="636466"/>
          <w:sz w:val="19"/>
        </w:rPr>
        <w:t>law-enforcement</w:t>
      </w:r>
    </w:p>
    <w:p>
      <w:pPr>
        <w:pStyle w:val="BodyText"/>
        <w:spacing w:line="278" w:lineRule="auto"/>
        <w:ind w:left="1180" w:right="289"/>
      </w:pPr>
      <w:r>
        <w:rPr>
          <w:color w:val="636466"/>
        </w:rPr>
        <w:t>officers or an organization that specializes and/ or is certified to provide firearm safety training  to civilians.  Qualifications  and  documentation of the organization’s training  program  </w:t>
      </w:r>
      <w:r>
        <w:rPr>
          <w:color w:val="636466"/>
          <w:spacing w:val="1"/>
        </w:rPr>
        <w:t>should </w:t>
      </w:r>
      <w:r>
        <w:rPr>
          <w:color w:val="636466"/>
        </w:rPr>
        <w:t>be retained by the HOW account and made available for review by Grinnell Mutual if requested.</w:t>
      </w:r>
    </w:p>
    <w:p>
      <w:pPr>
        <w:pStyle w:val="ListParagraph"/>
        <w:numPr>
          <w:ilvl w:val="1"/>
          <w:numId w:val="1"/>
        </w:numPr>
        <w:tabs>
          <w:tab w:pos="1180" w:val="left" w:leader="none"/>
        </w:tabs>
        <w:spacing w:line="278" w:lineRule="auto" w:before="178" w:after="0"/>
        <w:ind w:left="1180" w:right="260" w:hanging="180"/>
        <w:jc w:val="left"/>
        <w:rPr>
          <w:sz w:val="19"/>
        </w:rPr>
      </w:pPr>
      <w:r>
        <w:rPr>
          <w:color w:val="636466"/>
          <w:sz w:val="19"/>
        </w:rPr>
        <w:t>Training logs on individuals who have attended firearms training should be maintained by </w:t>
      </w:r>
      <w:r>
        <w:rPr>
          <w:color w:val="636466"/>
          <w:spacing w:val="1"/>
          <w:sz w:val="19"/>
        </w:rPr>
        <w:t>the </w:t>
      </w:r>
      <w:r>
        <w:rPr>
          <w:color w:val="636466"/>
          <w:sz w:val="19"/>
        </w:rPr>
        <w:t>HOW</w:t>
      </w:r>
      <w:r>
        <w:rPr>
          <w:color w:val="636466"/>
          <w:spacing w:val="6"/>
          <w:sz w:val="19"/>
        </w:rPr>
        <w:t> </w:t>
      </w:r>
      <w:r>
        <w:rPr>
          <w:color w:val="636466"/>
          <w:sz w:val="19"/>
        </w:rPr>
        <w:t>account.</w:t>
      </w:r>
    </w:p>
    <w:p>
      <w:pPr>
        <w:pStyle w:val="ListParagraph"/>
        <w:numPr>
          <w:ilvl w:val="1"/>
          <w:numId w:val="1"/>
        </w:numPr>
        <w:tabs>
          <w:tab w:pos="1180" w:val="left" w:leader="none"/>
        </w:tabs>
        <w:spacing w:line="278" w:lineRule="auto" w:before="180" w:after="0"/>
        <w:ind w:left="1180" w:right="295" w:hanging="180"/>
        <w:jc w:val="left"/>
        <w:rPr>
          <w:sz w:val="19"/>
        </w:rPr>
      </w:pPr>
      <w:r>
        <w:rPr>
          <w:color w:val="636466"/>
          <w:sz w:val="19"/>
        </w:rPr>
        <w:t>In addition to initial training, follow-up training should be</w:t>
      </w:r>
      <w:r>
        <w:rPr>
          <w:color w:val="636466"/>
          <w:spacing w:val="15"/>
          <w:sz w:val="19"/>
        </w:rPr>
        <w:t> </w:t>
      </w:r>
      <w:r>
        <w:rPr>
          <w:color w:val="636466"/>
          <w:sz w:val="19"/>
        </w:rPr>
        <w:t>provided.</w:t>
      </w:r>
    </w:p>
    <w:p>
      <w:pPr>
        <w:pStyle w:val="ListParagraph"/>
        <w:numPr>
          <w:ilvl w:val="1"/>
          <w:numId w:val="1"/>
        </w:numPr>
        <w:tabs>
          <w:tab w:pos="1180" w:val="left" w:leader="none"/>
        </w:tabs>
        <w:spacing w:line="278" w:lineRule="auto" w:before="179" w:after="0"/>
        <w:ind w:left="1180" w:right="307" w:hanging="180"/>
        <w:jc w:val="both"/>
        <w:rPr>
          <w:sz w:val="19"/>
        </w:rPr>
      </w:pPr>
      <w:r>
        <w:rPr>
          <w:color w:val="636466"/>
          <w:sz w:val="19"/>
        </w:rPr>
        <w:t>Individuals who have not completed the steps above should not be allowed to carry weapons as part of the HOW’s security team</w:t>
      </w:r>
      <w:r>
        <w:rPr>
          <w:color w:val="636466"/>
          <w:spacing w:val="16"/>
          <w:sz w:val="19"/>
        </w:rPr>
        <w:t> </w:t>
      </w:r>
      <w:r>
        <w:rPr>
          <w:color w:val="636466"/>
          <w:sz w:val="19"/>
        </w:rPr>
        <w:t>.</w:t>
      </w:r>
    </w:p>
    <w:p>
      <w:pPr>
        <w:pStyle w:val="ListParagraph"/>
        <w:numPr>
          <w:ilvl w:val="0"/>
          <w:numId w:val="1"/>
        </w:numPr>
        <w:tabs>
          <w:tab w:pos="640" w:val="left" w:leader="none"/>
        </w:tabs>
        <w:spacing w:line="278" w:lineRule="auto" w:before="180" w:after="0"/>
        <w:ind w:left="640" w:right="185" w:hanging="180"/>
        <w:jc w:val="left"/>
        <w:rPr>
          <w:sz w:val="19"/>
        </w:rPr>
      </w:pPr>
      <w:r>
        <w:rPr>
          <w:color w:val="636466"/>
          <w:sz w:val="19"/>
        </w:rPr>
        <w:t>All HOW security programs and procedures should be extensively reviewed by the HOW’s legal counsel prior to implementation. The distribution of the  detailed plan should be limited to  those  directly  involved  in the development and  implementation  of  the  plan. The decision to share the security plan with </w:t>
      </w:r>
      <w:r>
        <w:rPr>
          <w:color w:val="636466"/>
          <w:spacing w:val="1"/>
          <w:sz w:val="19"/>
        </w:rPr>
        <w:t>the   </w:t>
      </w:r>
      <w:r>
        <w:rPr>
          <w:color w:val="636466"/>
          <w:sz w:val="19"/>
        </w:rPr>
        <w:t>general congregation should be made on a case-by- case</w:t>
      </w:r>
      <w:r>
        <w:rPr>
          <w:color w:val="636466"/>
          <w:spacing w:val="15"/>
          <w:sz w:val="19"/>
        </w:rPr>
        <w:t> </w:t>
      </w:r>
      <w:r>
        <w:rPr>
          <w:color w:val="636466"/>
          <w:sz w:val="19"/>
        </w:rPr>
        <w:t>basis</w:t>
      </w:r>
      <w:r>
        <w:rPr>
          <w:color w:val="636466"/>
          <w:spacing w:val="15"/>
          <w:sz w:val="19"/>
        </w:rPr>
        <w:t> </w:t>
      </w:r>
      <w:r>
        <w:rPr>
          <w:color w:val="636466"/>
          <w:sz w:val="19"/>
        </w:rPr>
        <w:t>by</w:t>
      </w:r>
      <w:r>
        <w:rPr>
          <w:color w:val="636466"/>
          <w:spacing w:val="15"/>
          <w:sz w:val="19"/>
        </w:rPr>
        <w:t> </w:t>
      </w:r>
      <w:r>
        <w:rPr>
          <w:color w:val="636466"/>
          <w:sz w:val="19"/>
        </w:rPr>
        <w:t>those</w:t>
      </w:r>
      <w:r>
        <w:rPr>
          <w:color w:val="636466"/>
          <w:spacing w:val="15"/>
          <w:sz w:val="19"/>
        </w:rPr>
        <w:t> </w:t>
      </w:r>
      <w:r>
        <w:rPr>
          <w:color w:val="636466"/>
          <w:sz w:val="19"/>
        </w:rPr>
        <w:t>directly</w:t>
      </w:r>
      <w:r>
        <w:rPr>
          <w:color w:val="636466"/>
          <w:spacing w:val="15"/>
          <w:sz w:val="19"/>
        </w:rPr>
        <w:t> </w:t>
      </w:r>
      <w:r>
        <w:rPr>
          <w:color w:val="636466"/>
          <w:sz w:val="19"/>
        </w:rPr>
        <w:t>involved</w:t>
      </w:r>
      <w:r>
        <w:rPr>
          <w:color w:val="636466"/>
          <w:spacing w:val="15"/>
          <w:sz w:val="19"/>
        </w:rPr>
        <w:t> </w:t>
      </w:r>
      <w:r>
        <w:rPr>
          <w:color w:val="636466"/>
          <w:sz w:val="19"/>
        </w:rPr>
        <w:t>in</w:t>
      </w:r>
      <w:r>
        <w:rPr>
          <w:color w:val="636466"/>
          <w:spacing w:val="15"/>
          <w:sz w:val="19"/>
        </w:rPr>
        <w:t> </w:t>
      </w:r>
      <w:r>
        <w:rPr>
          <w:color w:val="636466"/>
          <w:sz w:val="19"/>
        </w:rPr>
        <w:t>developing</w:t>
      </w:r>
    </w:p>
    <w:p>
      <w:pPr>
        <w:spacing w:after="0" w:line="278" w:lineRule="auto"/>
        <w:jc w:val="left"/>
        <w:rPr>
          <w:sz w:val="19"/>
        </w:rPr>
        <w:sectPr>
          <w:pgSz w:w="12240" w:h="15840"/>
          <w:pgMar w:top="580" w:bottom="280" w:left="260" w:right="260"/>
          <w:cols w:num="2" w:equalWidth="0">
            <w:col w:w="5713" w:space="227"/>
            <w:col w:w="5780"/>
          </w:cols>
        </w:sectPr>
      </w:pPr>
    </w:p>
    <w:p>
      <w:pPr>
        <w:pStyle w:val="BodyText"/>
        <w:spacing w:line="278" w:lineRule="auto" w:before="82"/>
        <w:ind w:left="280" w:right="355"/>
        <w:jc w:val="both"/>
      </w:pPr>
      <w:r>
        <w:rPr>
          <w:color w:val="636466"/>
        </w:rPr>
        <w:t>and implementing the plan. Consultation with local law enforcement on information sharing is strongly encouraged.</w:t>
      </w:r>
    </w:p>
    <w:p>
      <w:pPr>
        <w:pStyle w:val="BodyText"/>
        <w:spacing w:before="180"/>
        <w:ind w:left="280"/>
      </w:pPr>
      <w:r>
        <w:rPr>
          <w:color w:val="636466"/>
        </w:rPr>
        <w:t>Questions to consider when developing a security plan:</w:t>
      </w:r>
    </w:p>
    <w:p>
      <w:pPr>
        <w:pStyle w:val="ListParagraph"/>
        <w:numPr>
          <w:ilvl w:val="1"/>
          <w:numId w:val="1"/>
        </w:numPr>
        <w:tabs>
          <w:tab w:pos="820" w:val="left" w:leader="none"/>
        </w:tabs>
        <w:spacing w:line="278" w:lineRule="auto" w:before="221" w:after="0"/>
        <w:ind w:left="820" w:right="306" w:hanging="180"/>
        <w:jc w:val="left"/>
        <w:rPr>
          <w:sz w:val="19"/>
        </w:rPr>
      </w:pPr>
      <w:r>
        <w:rPr>
          <w:color w:val="636466"/>
          <w:sz w:val="19"/>
        </w:rPr>
        <w:t>How will communication to all  occupants  of the building occur if an incident occurs or an armed intruder enters the building? What method</w:t>
      </w:r>
      <w:r>
        <w:rPr>
          <w:color w:val="636466"/>
          <w:spacing w:val="18"/>
          <w:sz w:val="19"/>
        </w:rPr>
        <w:t> </w:t>
      </w:r>
      <w:r>
        <w:rPr>
          <w:color w:val="636466"/>
          <w:sz w:val="19"/>
        </w:rPr>
        <w:t>will</w:t>
      </w:r>
      <w:r>
        <w:rPr>
          <w:color w:val="636466"/>
          <w:spacing w:val="18"/>
          <w:sz w:val="19"/>
        </w:rPr>
        <w:t> </w:t>
      </w:r>
      <w:r>
        <w:rPr>
          <w:color w:val="636466"/>
          <w:sz w:val="19"/>
        </w:rPr>
        <w:t>the</w:t>
      </w:r>
      <w:r>
        <w:rPr>
          <w:color w:val="636466"/>
          <w:spacing w:val="18"/>
          <w:sz w:val="19"/>
        </w:rPr>
        <w:t> </w:t>
      </w:r>
      <w:r>
        <w:rPr>
          <w:color w:val="636466"/>
          <w:sz w:val="19"/>
        </w:rPr>
        <w:t>security</w:t>
      </w:r>
      <w:r>
        <w:rPr>
          <w:color w:val="636466"/>
          <w:spacing w:val="18"/>
          <w:sz w:val="19"/>
        </w:rPr>
        <w:t> </w:t>
      </w:r>
      <w:r>
        <w:rPr>
          <w:color w:val="636466"/>
          <w:sz w:val="19"/>
        </w:rPr>
        <w:t>team</w:t>
      </w:r>
      <w:r>
        <w:rPr>
          <w:color w:val="636466"/>
          <w:spacing w:val="18"/>
          <w:sz w:val="19"/>
        </w:rPr>
        <w:t> </w:t>
      </w:r>
      <w:r>
        <w:rPr>
          <w:color w:val="636466"/>
          <w:sz w:val="19"/>
        </w:rPr>
        <w:t>use</w:t>
      </w:r>
      <w:r>
        <w:rPr>
          <w:color w:val="636466"/>
          <w:spacing w:val="18"/>
          <w:sz w:val="19"/>
        </w:rPr>
        <w:t> </w:t>
      </w:r>
      <w:r>
        <w:rPr>
          <w:color w:val="636466"/>
          <w:sz w:val="19"/>
        </w:rPr>
        <w:t>for</w:t>
      </w:r>
      <w:r>
        <w:rPr>
          <w:color w:val="636466"/>
          <w:spacing w:val="18"/>
          <w:sz w:val="19"/>
        </w:rPr>
        <w:t> </w:t>
      </w:r>
      <w:r>
        <w:rPr>
          <w:color w:val="636466"/>
          <w:sz w:val="19"/>
        </w:rPr>
        <w:t>ongoing</w:t>
      </w:r>
    </w:p>
    <w:p>
      <w:pPr>
        <w:pStyle w:val="BodyText"/>
        <w:spacing w:line="278" w:lineRule="auto"/>
        <w:ind w:left="820" w:right="128"/>
      </w:pPr>
      <w:r>
        <w:rPr>
          <w:color w:val="636466"/>
        </w:rPr>
        <w:t>communication after the original notification of the intruder?</w:t>
      </w:r>
    </w:p>
    <w:p>
      <w:pPr>
        <w:pStyle w:val="ListParagraph"/>
        <w:numPr>
          <w:ilvl w:val="1"/>
          <w:numId w:val="1"/>
        </w:numPr>
        <w:tabs>
          <w:tab w:pos="820" w:val="left" w:leader="none"/>
        </w:tabs>
        <w:spacing w:line="278" w:lineRule="auto" w:before="179" w:after="0"/>
        <w:ind w:left="820" w:right="48" w:hanging="180"/>
        <w:jc w:val="left"/>
        <w:rPr>
          <w:sz w:val="19"/>
        </w:rPr>
      </w:pPr>
      <w:r>
        <w:rPr>
          <w:color w:val="636466"/>
          <w:sz w:val="19"/>
        </w:rPr>
        <w:t>Are emergency numbers posted near all building phones? Are emergency numbers available in “Contacts” on cell phones of those in leadership positions,</w:t>
      </w:r>
      <w:r>
        <w:rPr>
          <w:color w:val="636466"/>
          <w:spacing w:val="15"/>
          <w:sz w:val="19"/>
        </w:rPr>
        <w:t> </w:t>
      </w:r>
      <w:r>
        <w:rPr>
          <w:color w:val="636466"/>
          <w:sz w:val="19"/>
        </w:rPr>
        <w:t>as</w:t>
      </w:r>
      <w:r>
        <w:rPr>
          <w:color w:val="636466"/>
          <w:spacing w:val="15"/>
          <w:sz w:val="19"/>
        </w:rPr>
        <w:t> </w:t>
      </w:r>
      <w:r>
        <w:rPr>
          <w:color w:val="636466"/>
          <w:sz w:val="19"/>
        </w:rPr>
        <w:t>well</w:t>
      </w:r>
      <w:r>
        <w:rPr>
          <w:color w:val="636466"/>
          <w:spacing w:val="15"/>
          <w:sz w:val="19"/>
        </w:rPr>
        <w:t> </w:t>
      </w:r>
      <w:r>
        <w:rPr>
          <w:color w:val="636466"/>
          <w:sz w:val="19"/>
        </w:rPr>
        <w:t>as</w:t>
      </w:r>
      <w:r>
        <w:rPr>
          <w:color w:val="636466"/>
          <w:spacing w:val="15"/>
          <w:sz w:val="19"/>
        </w:rPr>
        <w:t> </w:t>
      </w:r>
      <w:r>
        <w:rPr>
          <w:color w:val="636466"/>
          <w:sz w:val="19"/>
        </w:rPr>
        <w:t>those</w:t>
      </w:r>
      <w:r>
        <w:rPr>
          <w:color w:val="636466"/>
          <w:spacing w:val="15"/>
          <w:sz w:val="19"/>
        </w:rPr>
        <w:t> </w:t>
      </w:r>
      <w:r>
        <w:rPr>
          <w:color w:val="636466"/>
          <w:sz w:val="19"/>
        </w:rPr>
        <w:t>of</w:t>
      </w:r>
      <w:r>
        <w:rPr>
          <w:color w:val="636466"/>
          <w:spacing w:val="15"/>
          <w:sz w:val="19"/>
        </w:rPr>
        <w:t> </w:t>
      </w:r>
      <w:r>
        <w:rPr>
          <w:color w:val="636466"/>
          <w:sz w:val="19"/>
        </w:rPr>
        <w:t>other</w:t>
      </w:r>
      <w:r>
        <w:rPr>
          <w:color w:val="636466"/>
          <w:spacing w:val="15"/>
          <w:sz w:val="19"/>
        </w:rPr>
        <w:t> </w:t>
      </w:r>
      <w:r>
        <w:rPr>
          <w:color w:val="636466"/>
          <w:sz w:val="19"/>
        </w:rPr>
        <w:t>designees?</w:t>
      </w:r>
    </w:p>
    <w:p>
      <w:pPr>
        <w:pStyle w:val="ListParagraph"/>
        <w:numPr>
          <w:ilvl w:val="1"/>
          <w:numId w:val="1"/>
        </w:numPr>
        <w:tabs>
          <w:tab w:pos="820" w:val="left" w:leader="none"/>
        </w:tabs>
        <w:spacing w:line="278" w:lineRule="auto" w:before="179" w:after="0"/>
        <w:ind w:left="820" w:right="38" w:hanging="180"/>
        <w:jc w:val="left"/>
        <w:rPr>
          <w:sz w:val="19"/>
        </w:rPr>
      </w:pPr>
      <w:r>
        <w:rPr>
          <w:color w:val="636466"/>
          <w:sz w:val="19"/>
        </w:rPr>
        <w:t>What is the chain of command for </w:t>
      </w:r>
      <w:r>
        <w:rPr>
          <w:color w:val="636466"/>
          <w:spacing w:val="1"/>
          <w:sz w:val="19"/>
        </w:rPr>
        <w:t>making </w:t>
      </w:r>
      <w:r>
        <w:rPr>
          <w:color w:val="636466"/>
          <w:sz w:val="19"/>
        </w:rPr>
        <w:t>decisions should such an incident occur? Have plans for multiple  scenarios  been  created  in case the primary decision maker and/or other individuals involved in implementing the security plan are</w:t>
      </w:r>
      <w:r>
        <w:rPr>
          <w:color w:val="636466"/>
          <w:spacing w:val="15"/>
          <w:sz w:val="19"/>
        </w:rPr>
        <w:t> </w:t>
      </w:r>
      <w:r>
        <w:rPr>
          <w:color w:val="636466"/>
          <w:spacing w:val="1"/>
          <w:sz w:val="19"/>
        </w:rPr>
        <w:t>unavailable?</w:t>
      </w:r>
    </w:p>
    <w:p>
      <w:pPr>
        <w:pStyle w:val="ListParagraph"/>
        <w:numPr>
          <w:ilvl w:val="1"/>
          <w:numId w:val="1"/>
        </w:numPr>
        <w:tabs>
          <w:tab w:pos="820" w:val="left" w:leader="none"/>
        </w:tabs>
        <w:spacing w:line="278" w:lineRule="auto" w:before="180" w:after="0"/>
        <w:ind w:left="820" w:right="38" w:hanging="180"/>
        <w:jc w:val="left"/>
        <w:rPr>
          <w:sz w:val="19"/>
        </w:rPr>
      </w:pPr>
      <w:r>
        <w:rPr>
          <w:color w:val="636466"/>
          <w:sz w:val="19"/>
        </w:rPr>
        <w:t>Has local law enforcement been actively involved and informed throughout  the  development  of the security</w:t>
      </w:r>
      <w:r>
        <w:rPr>
          <w:color w:val="636466"/>
          <w:spacing w:val="15"/>
          <w:sz w:val="19"/>
        </w:rPr>
        <w:t> </w:t>
      </w:r>
      <w:r>
        <w:rPr>
          <w:color w:val="636466"/>
          <w:sz w:val="19"/>
        </w:rPr>
        <w:t>plan?</w:t>
      </w:r>
    </w:p>
    <w:p>
      <w:pPr>
        <w:pStyle w:val="ListParagraph"/>
        <w:numPr>
          <w:ilvl w:val="1"/>
          <w:numId w:val="1"/>
        </w:numPr>
        <w:tabs>
          <w:tab w:pos="820" w:val="left" w:leader="none"/>
        </w:tabs>
        <w:spacing w:line="278" w:lineRule="auto" w:before="179" w:after="0"/>
        <w:ind w:left="820" w:right="365" w:hanging="180"/>
        <w:jc w:val="left"/>
        <w:rPr>
          <w:sz w:val="19"/>
        </w:rPr>
      </w:pPr>
      <w:r>
        <w:rPr>
          <w:color w:val="636466"/>
          <w:sz w:val="19"/>
        </w:rPr>
        <w:t>Have one or more rendezvous points been identified outside of the facility for occupants who exit the</w:t>
      </w:r>
      <w:r>
        <w:rPr>
          <w:color w:val="636466"/>
          <w:spacing w:val="23"/>
          <w:sz w:val="19"/>
        </w:rPr>
        <w:t> </w:t>
      </w:r>
      <w:r>
        <w:rPr>
          <w:color w:val="636466"/>
          <w:sz w:val="19"/>
        </w:rPr>
        <w:t>building?</w:t>
      </w:r>
    </w:p>
    <w:p>
      <w:pPr>
        <w:pStyle w:val="ListParagraph"/>
        <w:numPr>
          <w:ilvl w:val="1"/>
          <w:numId w:val="1"/>
        </w:numPr>
        <w:tabs>
          <w:tab w:pos="820" w:val="left" w:leader="none"/>
        </w:tabs>
        <w:spacing w:line="278" w:lineRule="auto" w:before="180" w:after="0"/>
        <w:ind w:left="820" w:right="134" w:hanging="180"/>
        <w:jc w:val="left"/>
        <w:rPr>
          <w:sz w:val="19"/>
        </w:rPr>
      </w:pPr>
      <w:r>
        <w:rPr>
          <w:color w:val="636466"/>
          <w:sz w:val="19"/>
        </w:rPr>
        <w:t>What training has been provided to those involved in implementing the plan? What  training, if any, is needed or should be provided to others beyond the team and</w:t>
      </w:r>
      <w:r>
        <w:rPr>
          <w:color w:val="636466"/>
          <w:spacing w:val="15"/>
          <w:sz w:val="19"/>
        </w:rPr>
        <w:t> </w:t>
      </w:r>
      <w:r>
        <w:rPr>
          <w:color w:val="636466"/>
          <w:sz w:val="19"/>
        </w:rPr>
        <w:t>leaders?</w:t>
      </w:r>
    </w:p>
    <w:p>
      <w:pPr>
        <w:pStyle w:val="BodyText"/>
        <w:spacing w:before="3"/>
        <w:rPr>
          <w:sz w:val="23"/>
        </w:rPr>
      </w:pPr>
    </w:p>
    <w:p>
      <w:pPr>
        <w:pStyle w:val="Heading1"/>
        <w:spacing w:line="348" w:lineRule="auto"/>
      </w:pPr>
      <w:r>
        <w:rPr>
          <w:color w:val="F7921E"/>
        </w:rPr>
        <w:t>EXAMPLE OF SIMPLE GUIDELINES FOR USE OF FORCE BY SECURITY PERSONNEL IN A HOUSE OF WORSHIP</w:t>
      </w:r>
    </w:p>
    <w:p>
      <w:pPr>
        <w:pStyle w:val="BodyText"/>
        <w:spacing w:line="278" w:lineRule="auto" w:before="226"/>
        <w:ind w:left="100" w:right="588"/>
      </w:pPr>
      <w:r>
        <w:rPr>
          <w:color w:val="005992"/>
        </w:rPr>
        <w:t>Grinnell Mutual  encourages  the  administrators  of a house of worship (HOW) to carefully consider </w:t>
      </w:r>
      <w:r>
        <w:rPr>
          <w:color w:val="005992"/>
          <w:spacing w:val="1"/>
        </w:rPr>
        <w:t>the </w:t>
      </w:r>
      <w:r>
        <w:rPr>
          <w:color w:val="005992"/>
        </w:rPr>
        <w:t>development of use-of-force guidelines for any off- duty</w:t>
      </w:r>
      <w:r>
        <w:rPr>
          <w:color w:val="005992"/>
          <w:spacing w:val="18"/>
        </w:rPr>
        <w:t> </w:t>
      </w:r>
      <w:r>
        <w:rPr>
          <w:color w:val="005992"/>
        </w:rPr>
        <w:t>law</w:t>
      </w:r>
      <w:r>
        <w:rPr>
          <w:color w:val="005992"/>
          <w:spacing w:val="18"/>
        </w:rPr>
        <w:t> </w:t>
      </w:r>
      <w:r>
        <w:rPr>
          <w:color w:val="005992"/>
        </w:rPr>
        <w:t>enforcement,</w:t>
      </w:r>
      <w:r>
        <w:rPr>
          <w:color w:val="005992"/>
          <w:spacing w:val="18"/>
        </w:rPr>
        <w:t> </w:t>
      </w:r>
      <w:r>
        <w:rPr>
          <w:color w:val="005992"/>
        </w:rPr>
        <w:t>private</w:t>
      </w:r>
      <w:r>
        <w:rPr>
          <w:color w:val="005992"/>
          <w:spacing w:val="18"/>
        </w:rPr>
        <w:t> </w:t>
      </w:r>
      <w:r>
        <w:rPr>
          <w:color w:val="005992"/>
        </w:rPr>
        <w:t>security</w:t>
      </w:r>
      <w:r>
        <w:rPr>
          <w:color w:val="005992"/>
          <w:spacing w:val="18"/>
        </w:rPr>
        <w:t> </w:t>
      </w:r>
      <w:r>
        <w:rPr>
          <w:color w:val="005992"/>
        </w:rPr>
        <w:t>service,</w:t>
      </w:r>
      <w:r>
        <w:rPr>
          <w:color w:val="005992"/>
          <w:spacing w:val="18"/>
        </w:rPr>
        <w:t> </w:t>
      </w:r>
      <w:r>
        <w:rPr>
          <w:color w:val="005992"/>
        </w:rPr>
        <w:t>or</w:t>
      </w:r>
    </w:p>
    <w:p>
      <w:pPr>
        <w:pStyle w:val="BodyText"/>
        <w:spacing w:line="278" w:lineRule="auto"/>
        <w:ind w:left="100" w:right="128"/>
      </w:pPr>
      <w:r>
        <w:rPr>
          <w:color w:val="005992"/>
        </w:rPr>
        <w:t>parishioners organized to provide protection services to the HOW. Once developed, the administrators </w:t>
      </w:r>
      <w:r>
        <w:rPr>
          <w:color w:val="005992"/>
          <w:spacing w:val="1"/>
        </w:rPr>
        <w:t>should </w:t>
      </w:r>
      <w:r>
        <w:rPr>
          <w:color w:val="005992"/>
        </w:rPr>
        <w:t>ensure that the security  personnel  comprehend  both the terms of the guidelines and the reasons for their implementation.</w:t>
      </w:r>
    </w:p>
    <w:p>
      <w:pPr>
        <w:pStyle w:val="BodyText"/>
        <w:spacing w:line="278" w:lineRule="auto" w:before="82"/>
        <w:ind w:left="100" w:right="576"/>
      </w:pPr>
      <w:r>
        <w:rPr/>
        <w:br w:type="column"/>
      </w:r>
      <w:r>
        <w:rPr>
          <w:color w:val="005992"/>
        </w:rPr>
        <w:t>These sample guidelines are designed to minimize </w:t>
      </w:r>
      <w:r>
        <w:rPr>
          <w:color w:val="005992"/>
          <w:spacing w:val="1"/>
        </w:rPr>
        <w:t>the </w:t>
      </w:r>
      <w:r>
        <w:rPr>
          <w:color w:val="005992"/>
        </w:rPr>
        <w:t>potential for accidental injury or  death  to  </w:t>
      </w:r>
      <w:r>
        <w:rPr>
          <w:color w:val="005992"/>
          <w:spacing w:val="1"/>
        </w:rPr>
        <w:t>parishioners </w:t>
      </w:r>
      <w:r>
        <w:rPr>
          <w:color w:val="005992"/>
        </w:rPr>
        <w:t>or guests of the HOW. These proposed </w:t>
      </w:r>
      <w:r>
        <w:rPr>
          <w:color w:val="005992"/>
          <w:spacing w:val="1"/>
        </w:rPr>
        <w:t>use-of-force </w:t>
      </w:r>
      <w:r>
        <w:rPr>
          <w:color w:val="005992"/>
        </w:rPr>
        <w:t>guidelines are not designed to be comprehensive, but to serve as basic principles for the interaction of security personnel</w:t>
      </w:r>
      <w:r>
        <w:rPr>
          <w:color w:val="005992"/>
          <w:spacing w:val="11"/>
        </w:rPr>
        <w:t> </w:t>
      </w:r>
      <w:r>
        <w:rPr>
          <w:color w:val="005992"/>
        </w:rPr>
        <w:t>with</w:t>
      </w:r>
      <w:r>
        <w:rPr>
          <w:color w:val="005992"/>
          <w:spacing w:val="11"/>
        </w:rPr>
        <w:t> </w:t>
      </w:r>
      <w:r>
        <w:rPr>
          <w:color w:val="005992"/>
        </w:rPr>
        <w:t>an</w:t>
      </w:r>
      <w:r>
        <w:rPr>
          <w:color w:val="005992"/>
          <w:spacing w:val="11"/>
        </w:rPr>
        <w:t> </w:t>
      </w:r>
      <w:r>
        <w:rPr>
          <w:color w:val="005992"/>
        </w:rPr>
        <w:t>intruder</w:t>
      </w:r>
      <w:r>
        <w:rPr>
          <w:color w:val="005992"/>
          <w:spacing w:val="11"/>
        </w:rPr>
        <w:t> </w:t>
      </w:r>
      <w:r>
        <w:rPr>
          <w:color w:val="005992"/>
        </w:rPr>
        <w:t>or</w:t>
      </w:r>
      <w:r>
        <w:rPr>
          <w:color w:val="005992"/>
          <w:spacing w:val="11"/>
        </w:rPr>
        <w:t> </w:t>
      </w:r>
      <w:r>
        <w:rPr>
          <w:color w:val="005992"/>
        </w:rPr>
        <w:t>aggressor</w:t>
      </w:r>
      <w:r>
        <w:rPr>
          <w:color w:val="005992"/>
          <w:spacing w:val="11"/>
        </w:rPr>
        <w:t> </w:t>
      </w:r>
      <w:r>
        <w:rPr>
          <w:color w:val="005992"/>
        </w:rPr>
        <w:t>in</w:t>
      </w:r>
      <w:r>
        <w:rPr>
          <w:color w:val="005992"/>
          <w:spacing w:val="11"/>
        </w:rPr>
        <w:t> </w:t>
      </w:r>
      <w:r>
        <w:rPr>
          <w:color w:val="005992"/>
        </w:rPr>
        <w:t>a</w:t>
      </w:r>
      <w:r>
        <w:rPr>
          <w:color w:val="005992"/>
          <w:spacing w:val="11"/>
        </w:rPr>
        <w:t> </w:t>
      </w:r>
      <w:r>
        <w:rPr>
          <w:color w:val="005992"/>
        </w:rPr>
        <w:t>HOW.</w:t>
      </w:r>
    </w:p>
    <w:p>
      <w:pPr>
        <w:pStyle w:val="ListParagraph"/>
        <w:numPr>
          <w:ilvl w:val="0"/>
          <w:numId w:val="2"/>
        </w:numPr>
        <w:tabs>
          <w:tab w:pos="459" w:val="left" w:leader="none"/>
          <w:tab w:pos="460" w:val="left" w:leader="none"/>
        </w:tabs>
        <w:spacing w:line="278" w:lineRule="auto" w:before="179" w:after="0"/>
        <w:ind w:left="460" w:right="660" w:hanging="360"/>
        <w:jc w:val="left"/>
        <w:rPr>
          <w:sz w:val="19"/>
        </w:rPr>
      </w:pPr>
      <w:r>
        <w:rPr>
          <w:color w:val="636666"/>
          <w:sz w:val="19"/>
        </w:rPr>
        <w:t>The leadership should instruct the security personnel to apply the use of lethal force only as a last resort, and only in circumstances in which </w:t>
      </w:r>
      <w:r>
        <w:rPr>
          <w:color w:val="636666"/>
          <w:spacing w:val="1"/>
          <w:sz w:val="19"/>
        </w:rPr>
        <w:t>the </w:t>
      </w:r>
      <w:r>
        <w:rPr>
          <w:color w:val="636666"/>
          <w:sz w:val="19"/>
        </w:rPr>
        <w:t>aggressor visibly displays a lethal weapon (gun or knife) to third persons or to the security personnel and</w:t>
      </w:r>
      <w:r>
        <w:rPr>
          <w:color w:val="636666"/>
          <w:spacing w:val="11"/>
          <w:sz w:val="19"/>
        </w:rPr>
        <w:t> </w:t>
      </w:r>
      <w:r>
        <w:rPr>
          <w:color w:val="636666"/>
          <w:sz w:val="19"/>
        </w:rPr>
        <w:t>it</w:t>
      </w:r>
      <w:r>
        <w:rPr>
          <w:color w:val="636666"/>
          <w:spacing w:val="11"/>
          <w:sz w:val="19"/>
        </w:rPr>
        <w:t> </w:t>
      </w:r>
      <w:r>
        <w:rPr>
          <w:color w:val="636666"/>
          <w:sz w:val="19"/>
        </w:rPr>
        <w:t>is</w:t>
      </w:r>
      <w:r>
        <w:rPr>
          <w:color w:val="636666"/>
          <w:spacing w:val="11"/>
          <w:sz w:val="19"/>
        </w:rPr>
        <w:t> </w:t>
      </w:r>
      <w:r>
        <w:rPr>
          <w:color w:val="636666"/>
          <w:sz w:val="19"/>
        </w:rPr>
        <w:t>clear</w:t>
      </w:r>
      <w:r>
        <w:rPr>
          <w:color w:val="636666"/>
          <w:spacing w:val="11"/>
          <w:sz w:val="19"/>
        </w:rPr>
        <w:t> </w:t>
      </w:r>
      <w:r>
        <w:rPr>
          <w:color w:val="636666"/>
          <w:sz w:val="19"/>
        </w:rPr>
        <w:t>there</w:t>
      </w:r>
      <w:r>
        <w:rPr>
          <w:color w:val="636666"/>
          <w:spacing w:val="11"/>
          <w:sz w:val="19"/>
        </w:rPr>
        <w:t> </w:t>
      </w:r>
      <w:r>
        <w:rPr>
          <w:color w:val="636666"/>
          <w:sz w:val="19"/>
        </w:rPr>
        <w:t>is</w:t>
      </w:r>
      <w:r>
        <w:rPr>
          <w:color w:val="636666"/>
          <w:spacing w:val="11"/>
          <w:sz w:val="19"/>
        </w:rPr>
        <w:t> </w:t>
      </w:r>
      <w:r>
        <w:rPr>
          <w:color w:val="636666"/>
          <w:sz w:val="19"/>
        </w:rPr>
        <w:t>an</w:t>
      </w:r>
      <w:r>
        <w:rPr>
          <w:color w:val="636666"/>
          <w:spacing w:val="11"/>
          <w:sz w:val="19"/>
        </w:rPr>
        <w:t> </w:t>
      </w:r>
      <w:r>
        <w:rPr>
          <w:color w:val="636666"/>
          <w:sz w:val="19"/>
        </w:rPr>
        <w:t>intent,</w:t>
      </w:r>
      <w:r>
        <w:rPr>
          <w:color w:val="636666"/>
          <w:spacing w:val="11"/>
          <w:sz w:val="19"/>
        </w:rPr>
        <w:t> </w:t>
      </w:r>
      <w:r>
        <w:rPr>
          <w:color w:val="636666"/>
          <w:sz w:val="19"/>
        </w:rPr>
        <w:t>through</w:t>
      </w:r>
      <w:r>
        <w:rPr>
          <w:color w:val="636666"/>
          <w:spacing w:val="11"/>
          <w:sz w:val="19"/>
        </w:rPr>
        <w:t> </w:t>
      </w:r>
      <w:r>
        <w:rPr>
          <w:color w:val="636666"/>
          <w:sz w:val="19"/>
        </w:rPr>
        <w:t>words</w:t>
      </w:r>
    </w:p>
    <w:p>
      <w:pPr>
        <w:pStyle w:val="BodyText"/>
        <w:spacing w:line="278" w:lineRule="auto"/>
        <w:ind w:left="460" w:right="576"/>
      </w:pPr>
      <w:r>
        <w:rPr>
          <w:color w:val="636666"/>
        </w:rPr>
        <w:t>or actions, that there is a high probability the aggressive individual plans to use the weapon to harm others.</w:t>
      </w:r>
    </w:p>
    <w:p>
      <w:pPr>
        <w:pStyle w:val="ListParagraph"/>
        <w:numPr>
          <w:ilvl w:val="0"/>
          <w:numId w:val="2"/>
        </w:numPr>
        <w:tabs>
          <w:tab w:pos="459" w:val="left" w:leader="none"/>
          <w:tab w:pos="460" w:val="left" w:leader="none"/>
        </w:tabs>
        <w:spacing w:line="278" w:lineRule="auto" w:before="179" w:after="0"/>
        <w:ind w:left="460" w:right="710" w:hanging="360"/>
        <w:jc w:val="left"/>
        <w:rPr>
          <w:sz w:val="19"/>
        </w:rPr>
      </w:pPr>
      <w:r>
        <w:rPr>
          <w:color w:val="636666"/>
          <w:sz w:val="19"/>
        </w:rPr>
        <w:t>If there is an emergency that requires swift </w:t>
      </w:r>
      <w:r>
        <w:rPr>
          <w:color w:val="636666"/>
          <w:spacing w:val="1"/>
          <w:sz w:val="19"/>
        </w:rPr>
        <w:t>action </w:t>
      </w:r>
      <w:r>
        <w:rPr>
          <w:color w:val="636666"/>
          <w:sz w:val="19"/>
        </w:rPr>
        <w:t>to prevent imminent danger  to  life,  the  intruder or aggressor should be encouraged to </w:t>
      </w:r>
      <w:r>
        <w:rPr>
          <w:color w:val="636666"/>
          <w:spacing w:val="1"/>
          <w:sz w:val="19"/>
        </w:rPr>
        <w:t>remove </w:t>
      </w:r>
      <w:r>
        <w:rPr>
          <w:color w:val="636666"/>
          <w:sz w:val="19"/>
        </w:rPr>
        <w:t>himself</w:t>
      </w:r>
      <w:r>
        <w:rPr>
          <w:color w:val="636666"/>
          <w:spacing w:val="17"/>
          <w:sz w:val="19"/>
        </w:rPr>
        <w:t> </w:t>
      </w:r>
      <w:r>
        <w:rPr>
          <w:color w:val="636666"/>
          <w:sz w:val="19"/>
        </w:rPr>
        <w:t>to</w:t>
      </w:r>
      <w:r>
        <w:rPr>
          <w:color w:val="636666"/>
          <w:spacing w:val="17"/>
          <w:sz w:val="19"/>
        </w:rPr>
        <w:t> </w:t>
      </w:r>
      <w:r>
        <w:rPr>
          <w:color w:val="636666"/>
          <w:sz w:val="19"/>
        </w:rPr>
        <w:t>a</w:t>
      </w:r>
      <w:r>
        <w:rPr>
          <w:color w:val="636666"/>
          <w:spacing w:val="17"/>
          <w:sz w:val="19"/>
        </w:rPr>
        <w:t> </w:t>
      </w:r>
      <w:r>
        <w:rPr>
          <w:color w:val="636666"/>
          <w:sz w:val="19"/>
        </w:rPr>
        <w:t>secluded</w:t>
      </w:r>
      <w:r>
        <w:rPr>
          <w:color w:val="636666"/>
          <w:spacing w:val="17"/>
          <w:sz w:val="19"/>
        </w:rPr>
        <w:t> </w:t>
      </w:r>
      <w:r>
        <w:rPr>
          <w:color w:val="636666"/>
          <w:sz w:val="19"/>
        </w:rPr>
        <w:t>area</w:t>
      </w:r>
      <w:r>
        <w:rPr>
          <w:color w:val="636666"/>
          <w:spacing w:val="17"/>
          <w:sz w:val="19"/>
        </w:rPr>
        <w:t> </w:t>
      </w:r>
      <w:r>
        <w:rPr>
          <w:color w:val="636666"/>
          <w:sz w:val="19"/>
        </w:rPr>
        <w:t>of</w:t>
      </w:r>
      <w:r>
        <w:rPr>
          <w:color w:val="636666"/>
          <w:spacing w:val="17"/>
          <w:sz w:val="19"/>
        </w:rPr>
        <w:t> </w:t>
      </w:r>
      <w:r>
        <w:rPr>
          <w:color w:val="636666"/>
          <w:sz w:val="19"/>
        </w:rPr>
        <w:t>the</w:t>
      </w:r>
      <w:r>
        <w:rPr>
          <w:color w:val="636666"/>
          <w:spacing w:val="17"/>
          <w:sz w:val="19"/>
        </w:rPr>
        <w:t> </w:t>
      </w:r>
      <w:r>
        <w:rPr>
          <w:color w:val="636666"/>
          <w:sz w:val="19"/>
        </w:rPr>
        <w:t>church</w:t>
      </w:r>
      <w:r>
        <w:rPr>
          <w:color w:val="636666"/>
          <w:spacing w:val="17"/>
          <w:sz w:val="19"/>
        </w:rPr>
        <w:t> </w:t>
      </w:r>
      <w:r>
        <w:rPr>
          <w:color w:val="636666"/>
          <w:sz w:val="19"/>
        </w:rPr>
        <w:t>property,</w:t>
      </w:r>
    </w:p>
    <w:p>
      <w:pPr>
        <w:pStyle w:val="BodyText"/>
        <w:spacing w:line="278" w:lineRule="auto"/>
        <w:ind w:left="460" w:right="576"/>
      </w:pPr>
      <w:r>
        <w:rPr>
          <w:color w:val="636666"/>
        </w:rPr>
        <w:t>permitting the security personnel to reason with or control the intruder or aggressor in an environment presenting less danger to the people present in the HOW.</w:t>
      </w:r>
    </w:p>
    <w:p>
      <w:pPr>
        <w:pStyle w:val="ListParagraph"/>
        <w:numPr>
          <w:ilvl w:val="0"/>
          <w:numId w:val="2"/>
        </w:numPr>
        <w:tabs>
          <w:tab w:pos="459" w:val="left" w:leader="none"/>
          <w:tab w:pos="460" w:val="left" w:leader="none"/>
        </w:tabs>
        <w:spacing w:line="278" w:lineRule="auto" w:before="179" w:after="0"/>
        <w:ind w:left="460" w:right="731" w:hanging="360"/>
        <w:jc w:val="left"/>
        <w:rPr>
          <w:sz w:val="19"/>
        </w:rPr>
      </w:pPr>
      <w:r>
        <w:rPr>
          <w:color w:val="636666"/>
          <w:sz w:val="19"/>
        </w:rPr>
        <w:t>Simple verbal or physical altercations, with no dangerous weapons displayed, should not be </w:t>
      </w:r>
      <w:r>
        <w:rPr>
          <w:color w:val="636666"/>
          <w:spacing w:val="1"/>
          <w:sz w:val="19"/>
        </w:rPr>
        <w:t>met </w:t>
      </w:r>
      <w:r>
        <w:rPr>
          <w:color w:val="636666"/>
          <w:sz w:val="19"/>
        </w:rPr>
        <w:t>with the use of lethal weapons or lethal </w:t>
      </w:r>
      <w:r>
        <w:rPr>
          <w:color w:val="636666"/>
          <w:spacing w:val="1"/>
          <w:sz w:val="19"/>
        </w:rPr>
        <w:t>force, </w:t>
      </w:r>
      <w:r>
        <w:rPr>
          <w:color w:val="636666"/>
          <w:sz w:val="19"/>
        </w:rPr>
        <w:t>unless</w:t>
      </w:r>
      <w:r>
        <w:rPr>
          <w:color w:val="636666"/>
          <w:spacing w:val="13"/>
          <w:sz w:val="19"/>
        </w:rPr>
        <w:t> </w:t>
      </w:r>
      <w:r>
        <w:rPr>
          <w:color w:val="636666"/>
          <w:sz w:val="19"/>
        </w:rPr>
        <w:t>the</w:t>
      </w:r>
      <w:r>
        <w:rPr>
          <w:color w:val="636666"/>
          <w:spacing w:val="13"/>
          <w:sz w:val="19"/>
        </w:rPr>
        <w:t> </w:t>
      </w:r>
      <w:r>
        <w:rPr>
          <w:color w:val="636666"/>
          <w:sz w:val="19"/>
        </w:rPr>
        <w:t>intruder</w:t>
      </w:r>
      <w:r>
        <w:rPr>
          <w:color w:val="636666"/>
          <w:spacing w:val="13"/>
          <w:sz w:val="19"/>
        </w:rPr>
        <w:t> </w:t>
      </w:r>
      <w:r>
        <w:rPr>
          <w:color w:val="636666"/>
          <w:sz w:val="19"/>
        </w:rPr>
        <w:t>or</w:t>
      </w:r>
      <w:r>
        <w:rPr>
          <w:color w:val="636666"/>
          <w:spacing w:val="13"/>
          <w:sz w:val="19"/>
        </w:rPr>
        <w:t> </w:t>
      </w:r>
      <w:r>
        <w:rPr>
          <w:color w:val="636666"/>
          <w:sz w:val="19"/>
        </w:rPr>
        <w:t>aggressor</w:t>
      </w:r>
      <w:r>
        <w:rPr>
          <w:color w:val="636666"/>
          <w:spacing w:val="13"/>
          <w:sz w:val="19"/>
        </w:rPr>
        <w:t> </w:t>
      </w:r>
      <w:r>
        <w:rPr>
          <w:color w:val="636666"/>
          <w:sz w:val="19"/>
        </w:rPr>
        <w:t>is</w:t>
      </w:r>
      <w:r>
        <w:rPr>
          <w:color w:val="636666"/>
          <w:spacing w:val="13"/>
          <w:sz w:val="19"/>
        </w:rPr>
        <w:t> </w:t>
      </w:r>
      <w:r>
        <w:rPr>
          <w:color w:val="636666"/>
          <w:sz w:val="19"/>
        </w:rPr>
        <w:t>engaged</w:t>
      </w:r>
      <w:r>
        <w:rPr>
          <w:color w:val="636666"/>
          <w:spacing w:val="13"/>
          <w:sz w:val="19"/>
        </w:rPr>
        <w:t> </w:t>
      </w:r>
      <w:r>
        <w:rPr>
          <w:color w:val="636666"/>
          <w:sz w:val="19"/>
        </w:rPr>
        <w:t>in</w:t>
      </w:r>
      <w:r>
        <w:rPr>
          <w:color w:val="636666"/>
          <w:spacing w:val="13"/>
          <w:sz w:val="19"/>
        </w:rPr>
        <w:t> </w:t>
      </w:r>
      <w:r>
        <w:rPr>
          <w:color w:val="636666"/>
          <w:sz w:val="19"/>
        </w:rPr>
        <w:t>a</w:t>
      </w:r>
    </w:p>
    <w:p>
      <w:pPr>
        <w:pStyle w:val="BodyText"/>
        <w:spacing w:line="278" w:lineRule="auto"/>
        <w:ind w:left="460" w:right="576"/>
      </w:pPr>
      <w:r>
        <w:rPr>
          <w:color w:val="636666"/>
        </w:rPr>
        <w:t>physical act intended to terminate the life of another person (strangulation, severe beating of the person with a metal object, etc.).</w:t>
      </w:r>
    </w:p>
    <w:p>
      <w:pPr>
        <w:pStyle w:val="ListParagraph"/>
        <w:numPr>
          <w:ilvl w:val="0"/>
          <w:numId w:val="2"/>
        </w:numPr>
        <w:tabs>
          <w:tab w:pos="459" w:val="left" w:leader="none"/>
          <w:tab w:pos="460" w:val="left" w:leader="none"/>
        </w:tabs>
        <w:spacing w:line="278" w:lineRule="auto" w:before="179" w:after="0"/>
        <w:ind w:left="460" w:right="637" w:hanging="360"/>
        <w:jc w:val="left"/>
        <w:rPr>
          <w:sz w:val="19"/>
        </w:rPr>
      </w:pPr>
      <w:r>
        <w:rPr>
          <w:color w:val="636666"/>
          <w:sz w:val="19"/>
        </w:rPr>
        <w:t>Swarm tactics by the security  service  or  off-duty law enforcement to remove an aggressor attacking  a</w:t>
      </w:r>
      <w:r>
        <w:rPr>
          <w:color w:val="636666"/>
          <w:spacing w:val="10"/>
          <w:sz w:val="19"/>
        </w:rPr>
        <w:t> </w:t>
      </w:r>
      <w:r>
        <w:rPr>
          <w:color w:val="636666"/>
          <w:sz w:val="19"/>
        </w:rPr>
        <w:t>third</w:t>
      </w:r>
      <w:r>
        <w:rPr>
          <w:color w:val="636666"/>
          <w:spacing w:val="10"/>
          <w:sz w:val="19"/>
        </w:rPr>
        <w:t> </w:t>
      </w:r>
      <w:r>
        <w:rPr>
          <w:color w:val="636666"/>
          <w:sz w:val="19"/>
        </w:rPr>
        <w:t>person</w:t>
      </w:r>
      <w:r>
        <w:rPr>
          <w:color w:val="636666"/>
          <w:spacing w:val="10"/>
          <w:sz w:val="19"/>
        </w:rPr>
        <w:t> </w:t>
      </w:r>
      <w:r>
        <w:rPr>
          <w:color w:val="636666"/>
          <w:sz w:val="19"/>
        </w:rPr>
        <w:t>are</w:t>
      </w:r>
      <w:r>
        <w:rPr>
          <w:color w:val="636666"/>
          <w:spacing w:val="10"/>
          <w:sz w:val="19"/>
        </w:rPr>
        <w:t> </w:t>
      </w:r>
      <w:r>
        <w:rPr>
          <w:color w:val="636666"/>
          <w:sz w:val="19"/>
        </w:rPr>
        <w:t>preferred</w:t>
      </w:r>
      <w:r>
        <w:rPr>
          <w:color w:val="636666"/>
          <w:spacing w:val="10"/>
          <w:sz w:val="19"/>
        </w:rPr>
        <w:t> </w:t>
      </w:r>
      <w:r>
        <w:rPr>
          <w:color w:val="636666"/>
          <w:sz w:val="19"/>
        </w:rPr>
        <w:t>if</w:t>
      </w:r>
      <w:r>
        <w:rPr>
          <w:color w:val="636666"/>
          <w:spacing w:val="10"/>
          <w:sz w:val="19"/>
        </w:rPr>
        <w:t> </w:t>
      </w:r>
      <w:r>
        <w:rPr>
          <w:color w:val="636666"/>
          <w:sz w:val="19"/>
        </w:rPr>
        <w:t>an</w:t>
      </w:r>
      <w:r>
        <w:rPr>
          <w:color w:val="636666"/>
          <w:spacing w:val="10"/>
          <w:sz w:val="19"/>
        </w:rPr>
        <w:t> </w:t>
      </w:r>
      <w:r>
        <w:rPr>
          <w:color w:val="636666"/>
          <w:sz w:val="19"/>
        </w:rPr>
        <w:t>intruder</w:t>
      </w:r>
      <w:r>
        <w:rPr>
          <w:color w:val="636666"/>
          <w:spacing w:val="10"/>
          <w:sz w:val="19"/>
        </w:rPr>
        <w:t> </w:t>
      </w:r>
      <w:r>
        <w:rPr>
          <w:color w:val="636666"/>
          <w:sz w:val="19"/>
        </w:rPr>
        <w:t>or</w:t>
      </w:r>
    </w:p>
    <w:p>
      <w:pPr>
        <w:pStyle w:val="BodyText"/>
        <w:spacing w:line="278" w:lineRule="auto"/>
        <w:ind w:left="460" w:right="576"/>
      </w:pPr>
      <w:r>
        <w:rPr>
          <w:color w:val="636666"/>
        </w:rPr>
        <w:t>aggressor physically attacks a member or guest and the intruder does not possess a lethal weapon.</w:t>
      </w:r>
    </w:p>
    <w:p>
      <w:pPr>
        <w:pStyle w:val="ListParagraph"/>
        <w:numPr>
          <w:ilvl w:val="0"/>
          <w:numId w:val="2"/>
        </w:numPr>
        <w:tabs>
          <w:tab w:pos="459" w:val="left" w:leader="none"/>
          <w:tab w:pos="460" w:val="left" w:leader="none"/>
        </w:tabs>
        <w:spacing w:line="278" w:lineRule="auto" w:before="179" w:after="0"/>
        <w:ind w:left="460" w:right="728" w:hanging="360"/>
        <w:jc w:val="left"/>
        <w:rPr>
          <w:sz w:val="19"/>
        </w:rPr>
      </w:pPr>
      <w:r>
        <w:rPr>
          <w:color w:val="636666"/>
          <w:sz w:val="19"/>
        </w:rPr>
        <w:t>If the security service or off-duty law enforcement calls</w:t>
      </w:r>
      <w:r>
        <w:rPr>
          <w:color w:val="636666"/>
          <w:spacing w:val="13"/>
          <w:sz w:val="19"/>
        </w:rPr>
        <w:t> </w:t>
      </w:r>
      <w:r>
        <w:rPr>
          <w:color w:val="636666"/>
          <w:sz w:val="19"/>
        </w:rPr>
        <w:t>for</w:t>
      </w:r>
      <w:r>
        <w:rPr>
          <w:color w:val="636666"/>
          <w:spacing w:val="13"/>
          <w:sz w:val="19"/>
        </w:rPr>
        <w:t> </w:t>
      </w:r>
      <w:r>
        <w:rPr>
          <w:color w:val="636666"/>
          <w:sz w:val="19"/>
        </w:rPr>
        <w:t>the</w:t>
      </w:r>
      <w:r>
        <w:rPr>
          <w:color w:val="636666"/>
          <w:spacing w:val="13"/>
          <w:sz w:val="19"/>
        </w:rPr>
        <w:t> </w:t>
      </w:r>
      <w:r>
        <w:rPr>
          <w:color w:val="636666"/>
          <w:sz w:val="19"/>
        </w:rPr>
        <w:t>physical</w:t>
      </w:r>
      <w:r>
        <w:rPr>
          <w:color w:val="636666"/>
          <w:spacing w:val="13"/>
          <w:sz w:val="19"/>
        </w:rPr>
        <w:t> </w:t>
      </w:r>
      <w:r>
        <w:rPr>
          <w:color w:val="636666"/>
          <w:sz w:val="19"/>
        </w:rPr>
        <w:t>assistance</w:t>
      </w:r>
      <w:r>
        <w:rPr>
          <w:color w:val="636666"/>
          <w:spacing w:val="13"/>
          <w:sz w:val="19"/>
        </w:rPr>
        <w:t> </w:t>
      </w:r>
      <w:r>
        <w:rPr>
          <w:color w:val="636666"/>
          <w:sz w:val="19"/>
        </w:rPr>
        <w:t>of</w:t>
      </w:r>
      <w:r>
        <w:rPr>
          <w:color w:val="636666"/>
          <w:spacing w:val="13"/>
          <w:sz w:val="19"/>
        </w:rPr>
        <w:t> </w:t>
      </w:r>
      <w:r>
        <w:rPr>
          <w:color w:val="636666"/>
          <w:spacing w:val="1"/>
          <w:sz w:val="19"/>
        </w:rPr>
        <w:t>parishioners</w:t>
      </w:r>
    </w:p>
    <w:p>
      <w:pPr>
        <w:pStyle w:val="BodyText"/>
        <w:spacing w:line="278" w:lineRule="auto"/>
        <w:ind w:left="460" w:right="722"/>
      </w:pPr>
      <w:r>
        <w:rPr>
          <w:color w:val="636666"/>
        </w:rPr>
        <w:t>to subdue an agitated but unarmed person, able- bodied parishioners may responsibly respond to this request, but they should not do so with lethal weapons.</w:t>
      </w:r>
    </w:p>
    <w:p>
      <w:pPr>
        <w:pStyle w:val="BodyText"/>
        <w:rPr>
          <w:sz w:val="26"/>
        </w:rPr>
      </w:pPr>
    </w:p>
    <w:p>
      <w:pPr>
        <w:pStyle w:val="BodyText"/>
        <w:rPr>
          <w:sz w:val="26"/>
        </w:rPr>
      </w:pPr>
    </w:p>
    <w:p>
      <w:pPr>
        <w:pStyle w:val="BodyText"/>
        <w:spacing w:before="6"/>
        <w:rPr>
          <w:sz w:val="18"/>
        </w:rPr>
      </w:pPr>
    </w:p>
    <w:p>
      <w:pPr>
        <w:pStyle w:val="BodyText"/>
        <w:ind w:left="3437"/>
        <w:rPr>
          <w:rFonts w:ascii="Open Sans Semibold"/>
          <w:b/>
        </w:rPr>
      </w:pPr>
      <w:r>
        <w:rPr>
          <w:rFonts w:ascii="Open Sans Semibold"/>
          <w:b/>
          <w:color w:val="636666"/>
        </w:rPr>
        <w:t>(continued on back)</w:t>
      </w:r>
    </w:p>
    <w:p>
      <w:pPr>
        <w:spacing w:after="0"/>
        <w:rPr>
          <w:rFonts w:ascii="Open Sans Semibold"/>
        </w:rPr>
        <w:sectPr>
          <w:pgSz w:w="12240" w:h="15840"/>
          <w:pgMar w:top="580" w:bottom="280" w:left="260" w:right="260"/>
          <w:cols w:num="2" w:equalWidth="0">
            <w:col w:w="5365" w:space="575"/>
            <w:col w:w="5780"/>
          </w:cols>
        </w:sectPr>
      </w:pPr>
    </w:p>
    <w:p>
      <w:pPr>
        <w:pStyle w:val="ListParagraph"/>
        <w:numPr>
          <w:ilvl w:val="1"/>
          <w:numId w:val="2"/>
        </w:numPr>
        <w:tabs>
          <w:tab w:pos="819" w:val="left" w:leader="none"/>
          <w:tab w:pos="820" w:val="left" w:leader="none"/>
        </w:tabs>
        <w:spacing w:line="278" w:lineRule="auto" w:before="82" w:after="0"/>
        <w:ind w:left="820" w:right="273" w:hanging="360"/>
        <w:jc w:val="left"/>
        <w:rPr>
          <w:sz w:val="19"/>
        </w:rPr>
      </w:pPr>
      <w:r>
        <w:rPr>
          <w:color w:val="636566"/>
          <w:sz w:val="19"/>
        </w:rPr>
        <w:t>The security service or off-duty law enforcement should not request the voluntary</w:t>
      </w:r>
      <w:r>
        <w:rPr>
          <w:color w:val="636566"/>
          <w:spacing w:val="22"/>
          <w:sz w:val="19"/>
        </w:rPr>
        <w:t> </w:t>
      </w:r>
      <w:r>
        <w:rPr>
          <w:color w:val="636566"/>
          <w:sz w:val="19"/>
        </w:rPr>
        <w:t>assistance</w:t>
      </w:r>
    </w:p>
    <w:p>
      <w:pPr>
        <w:pStyle w:val="BodyText"/>
        <w:spacing w:line="278" w:lineRule="auto"/>
        <w:ind w:left="820" w:right="38"/>
      </w:pPr>
      <w:r>
        <w:rPr>
          <w:color w:val="636566"/>
        </w:rPr>
        <w:t>of members of the church if the intruder or aggressor is objectively displaying a lethal weapon.</w:t>
      </w:r>
    </w:p>
    <w:p>
      <w:pPr>
        <w:pStyle w:val="ListParagraph"/>
        <w:numPr>
          <w:ilvl w:val="1"/>
          <w:numId w:val="2"/>
        </w:numPr>
        <w:tabs>
          <w:tab w:pos="819" w:val="left" w:leader="none"/>
          <w:tab w:pos="820" w:val="left" w:leader="none"/>
        </w:tabs>
        <w:spacing w:line="278" w:lineRule="auto" w:before="179" w:after="0"/>
        <w:ind w:left="820" w:right="297" w:hanging="360"/>
        <w:jc w:val="left"/>
        <w:rPr>
          <w:sz w:val="19"/>
        </w:rPr>
      </w:pPr>
      <w:r>
        <w:rPr>
          <w:color w:val="636566"/>
          <w:sz w:val="19"/>
        </w:rPr>
        <w:t>Once an intruder or aggressor objectively  displays a lethal weapon, security service or </w:t>
      </w:r>
      <w:r>
        <w:rPr>
          <w:color w:val="636566"/>
          <w:spacing w:val="1"/>
          <w:sz w:val="19"/>
        </w:rPr>
        <w:t>law </w:t>
      </w:r>
      <w:r>
        <w:rPr>
          <w:color w:val="636566"/>
          <w:sz w:val="19"/>
        </w:rPr>
        <w:t>enforcement personnel should first remove, if possible, guests and members of the HOW from the vicinity of the intruder or aggressor, </w:t>
      </w:r>
      <w:r>
        <w:rPr>
          <w:color w:val="636566"/>
          <w:spacing w:val="1"/>
          <w:sz w:val="19"/>
        </w:rPr>
        <w:t>and </w:t>
      </w:r>
      <w:r>
        <w:rPr>
          <w:color w:val="636566"/>
          <w:sz w:val="19"/>
        </w:rPr>
        <w:t>engage the intruder or aggressor only after </w:t>
      </w:r>
      <w:r>
        <w:rPr>
          <w:color w:val="636566"/>
          <w:spacing w:val="1"/>
          <w:sz w:val="19"/>
        </w:rPr>
        <w:t>the </w:t>
      </w:r>
      <w:r>
        <w:rPr>
          <w:color w:val="636566"/>
          <w:sz w:val="19"/>
        </w:rPr>
        <w:t>public</w:t>
      </w:r>
      <w:r>
        <w:rPr>
          <w:color w:val="636566"/>
          <w:spacing w:val="10"/>
          <w:sz w:val="19"/>
        </w:rPr>
        <w:t> </w:t>
      </w:r>
      <w:r>
        <w:rPr>
          <w:color w:val="636566"/>
          <w:sz w:val="19"/>
        </w:rPr>
        <w:t>are</w:t>
      </w:r>
      <w:r>
        <w:rPr>
          <w:color w:val="636566"/>
          <w:spacing w:val="10"/>
          <w:sz w:val="19"/>
        </w:rPr>
        <w:t> </w:t>
      </w:r>
      <w:r>
        <w:rPr>
          <w:color w:val="636566"/>
          <w:sz w:val="19"/>
        </w:rPr>
        <w:t>away</w:t>
      </w:r>
      <w:r>
        <w:rPr>
          <w:color w:val="636566"/>
          <w:spacing w:val="10"/>
          <w:sz w:val="19"/>
        </w:rPr>
        <w:t> </w:t>
      </w:r>
      <w:r>
        <w:rPr>
          <w:color w:val="636566"/>
          <w:sz w:val="19"/>
        </w:rPr>
        <w:t>from</w:t>
      </w:r>
      <w:r>
        <w:rPr>
          <w:color w:val="636566"/>
          <w:spacing w:val="10"/>
          <w:sz w:val="19"/>
        </w:rPr>
        <w:t> </w:t>
      </w:r>
      <w:r>
        <w:rPr>
          <w:color w:val="636566"/>
          <w:sz w:val="19"/>
        </w:rPr>
        <w:t>the</w:t>
      </w:r>
      <w:r>
        <w:rPr>
          <w:color w:val="636566"/>
          <w:spacing w:val="10"/>
          <w:sz w:val="19"/>
        </w:rPr>
        <w:t> </w:t>
      </w:r>
      <w:r>
        <w:rPr>
          <w:color w:val="636566"/>
          <w:sz w:val="19"/>
        </w:rPr>
        <w:t>area</w:t>
      </w:r>
      <w:r>
        <w:rPr>
          <w:color w:val="636566"/>
          <w:spacing w:val="10"/>
          <w:sz w:val="19"/>
        </w:rPr>
        <w:t> </w:t>
      </w:r>
      <w:r>
        <w:rPr>
          <w:color w:val="636566"/>
          <w:sz w:val="19"/>
        </w:rPr>
        <w:t>of</w:t>
      </w:r>
      <w:r>
        <w:rPr>
          <w:color w:val="636566"/>
          <w:spacing w:val="10"/>
          <w:sz w:val="19"/>
        </w:rPr>
        <w:t> </w:t>
      </w:r>
      <w:r>
        <w:rPr>
          <w:color w:val="636566"/>
          <w:sz w:val="19"/>
        </w:rPr>
        <w:t>danger.</w:t>
      </w:r>
    </w:p>
    <w:p>
      <w:pPr>
        <w:pStyle w:val="ListParagraph"/>
        <w:numPr>
          <w:ilvl w:val="1"/>
          <w:numId w:val="2"/>
        </w:numPr>
        <w:tabs>
          <w:tab w:pos="819" w:val="left" w:leader="none"/>
          <w:tab w:pos="820" w:val="left" w:leader="none"/>
        </w:tabs>
        <w:spacing w:line="278" w:lineRule="auto" w:before="82" w:after="0"/>
        <w:ind w:left="820" w:right="748" w:hanging="360"/>
        <w:jc w:val="left"/>
        <w:rPr>
          <w:sz w:val="19"/>
        </w:rPr>
      </w:pPr>
      <w:r>
        <w:rPr>
          <w:color w:val="636566"/>
          <w:spacing w:val="2"/>
          <w:sz w:val="19"/>
        </w:rPr>
        <w:br w:type="column"/>
      </w:r>
      <w:r>
        <w:rPr>
          <w:color w:val="636566"/>
          <w:sz w:val="19"/>
        </w:rPr>
        <w:t>Law enforcement should be called to the scene immediately once the intruder or aggressor </w:t>
      </w:r>
      <w:r>
        <w:rPr>
          <w:color w:val="636566"/>
          <w:spacing w:val="1"/>
          <w:sz w:val="19"/>
        </w:rPr>
        <w:t>has </w:t>
      </w:r>
      <w:r>
        <w:rPr>
          <w:color w:val="636566"/>
          <w:sz w:val="19"/>
        </w:rPr>
        <w:t>been subdued if the person has committed a criminal act. This is especially true if a minor or disabled individual has sustained</w:t>
      </w:r>
      <w:r>
        <w:rPr>
          <w:color w:val="636566"/>
          <w:spacing w:val="47"/>
          <w:sz w:val="19"/>
        </w:rPr>
        <w:t> </w:t>
      </w:r>
      <w:r>
        <w:rPr>
          <w:color w:val="636566"/>
          <w:sz w:val="19"/>
        </w:rPr>
        <w:t>harm.</w:t>
      </w:r>
    </w:p>
    <w:p>
      <w:pPr>
        <w:pStyle w:val="ListParagraph"/>
        <w:numPr>
          <w:ilvl w:val="1"/>
          <w:numId w:val="2"/>
        </w:numPr>
        <w:tabs>
          <w:tab w:pos="819" w:val="left" w:leader="none"/>
          <w:tab w:pos="820" w:val="left" w:leader="none"/>
        </w:tabs>
        <w:spacing w:line="278" w:lineRule="auto" w:before="179" w:after="0"/>
        <w:ind w:left="820" w:right="658" w:hanging="360"/>
        <w:jc w:val="left"/>
        <w:rPr>
          <w:sz w:val="19"/>
        </w:rPr>
      </w:pPr>
      <w:r>
        <w:rPr>
          <w:color w:val="636566"/>
          <w:sz w:val="19"/>
        </w:rPr>
        <w:t>Members of a security service or off-duty </w:t>
      </w:r>
      <w:r>
        <w:rPr>
          <w:color w:val="636566"/>
          <w:spacing w:val="1"/>
          <w:sz w:val="19"/>
        </w:rPr>
        <w:t>law </w:t>
      </w:r>
      <w:r>
        <w:rPr>
          <w:color w:val="636566"/>
          <w:sz w:val="19"/>
        </w:rPr>
        <w:t>enforcement expressing disagreement or reservations about the intent of these guidelines should not be retained to provide protection </w:t>
      </w:r>
      <w:r>
        <w:rPr>
          <w:color w:val="636566"/>
          <w:spacing w:val="1"/>
          <w:sz w:val="19"/>
        </w:rPr>
        <w:t>for </w:t>
      </w:r>
      <w:r>
        <w:rPr>
          <w:color w:val="636566"/>
          <w:sz w:val="19"/>
        </w:rPr>
        <w:t>your</w:t>
      </w:r>
      <w:r>
        <w:rPr>
          <w:color w:val="636566"/>
          <w:spacing w:val="6"/>
          <w:sz w:val="19"/>
        </w:rPr>
        <w:t> </w:t>
      </w:r>
      <w:r>
        <w:rPr>
          <w:color w:val="636566"/>
          <w:sz w:val="19"/>
        </w:rPr>
        <w:t>HOW.</w:t>
      </w:r>
    </w:p>
    <w:p>
      <w:pPr>
        <w:spacing w:after="0" w:line="278" w:lineRule="auto"/>
        <w:jc w:val="left"/>
        <w:rPr>
          <w:sz w:val="19"/>
        </w:rPr>
        <w:sectPr>
          <w:pgSz w:w="12240" w:h="15840"/>
          <w:pgMar w:top="580" w:bottom="0" w:left="260" w:right="260"/>
          <w:cols w:num="2" w:equalWidth="0">
            <w:col w:w="5545" w:space="215"/>
            <w:col w:w="59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13"/>
        </w:rPr>
      </w:pPr>
    </w:p>
    <w:p>
      <w:pPr>
        <w:pStyle w:val="BodyText"/>
        <w:ind w:left="2512"/>
        <w:rPr>
          <w:sz w:val="20"/>
        </w:rPr>
      </w:pPr>
      <w:r>
        <w:rPr>
          <w:sz w:val="20"/>
        </w:rPr>
        <w:pict>
          <v:group style="width:334.75pt;height:134.5pt;mso-position-horizontal-relative:char;mso-position-vertical-relative:line" coordorigin="0,0" coordsize="6695,2690">
            <v:rect style="position:absolute;left:0;top:0;width:6695;height:2690" filled="true" fillcolor="#f1f2f2" stroked="false">
              <v:fill type="solid"/>
            </v:rect>
            <v:shape style="position:absolute;left:2120;top:1232;width:334;height:407" type="#_x0000_t75" stroked="false">
              <v:imagedata r:id="rId16" o:title=""/>
            </v:shape>
            <v:shape style="position:absolute;left:3597;top:1690;width:129;height:132" type="#_x0000_t75" stroked="false">
              <v:imagedata r:id="rId17" o:title=""/>
            </v:shape>
            <v:shape style="position:absolute;left:3769;top:1690;width:113;height:133" type="#_x0000_t75" stroked="false">
              <v:imagedata r:id="rId18" o:title=""/>
            </v:shape>
            <v:shape style="position:absolute;left:3913;top:1690;width:110;height:132" type="#_x0000_t75" stroked="false">
              <v:imagedata r:id="rId19" o:title=""/>
            </v:shape>
            <v:shape style="position:absolute;left:4053;top:1690;width:273;height:133" type="#_x0000_t75" stroked="false">
              <v:imagedata r:id="rId20" o:title=""/>
            </v:shape>
            <v:shape style="position:absolute;left:4357;top:1690;width:93;height:132" coordorigin="4357,1691" coordsize="93,132" path="m4391,1691l4357,1691,4357,1822,4449,1822,4449,1791,4391,1791,4391,1691xe" filled="true" fillcolor="#f7921e" stroked="false">
              <v:path arrowok="t"/>
              <v:fill type="solid"/>
            </v:shape>
            <v:shape style="position:absolute;left:2619;top:1342;width:217;height:265" type="#_x0000_t75" stroked="false">
              <v:imagedata r:id="rId21" o:title=""/>
            </v:shape>
            <v:shape style="position:absolute;left:2902;top:1345;width:214;height:259" type="#_x0000_t75" stroked="false">
              <v:imagedata r:id="rId22" o:title=""/>
            </v:shape>
            <v:line style="position:absolute" from="3197,1346" to="3197,1605" stroked="true" strokeweight="2.743pt" strokecolor="#005992">
              <v:stroke dashstyle="solid"/>
            </v:line>
            <v:shape style="position:absolute;left:3295;top:1345;width:234;height:259" type="#_x0000_t75" stroked="false">
              <v:imagedata r:id="rId23" o:title=""/>
            </v:shape>
            <v:shape style="position:absolute;left:3597;top:1345;width:234;height:259" type="#_x0000_t75" stroked="false">
              <v:imagedata r:id="rId24" o:title=""/>
            </v:shape>
            <v:line style="position:absolute" from="3896,1580" to="4072,1580" stroked="true" strokeweight="2.5pt" strokecolor="#005992">
              <v:stroke dashstyle="solid"/>
            </v:line>
            <v:rect style="position:absolute;left:3896;top:1500;width:55;height:54" filled="true" fillcolor="#005992" stroked="false">
              <v:fill type="solid"/>
            </v:rect>
            <v:line style="position:absolute" from="3896,1475" to="4056,1475" stroked="true" strokeweight="2.6pt" strokecolor="#005992">
              <v:stroke dashstyle="solid"/>
            </v:line>
            <v:rect style="position:absolute;left:3896;top:1396;width:55;height:52" filled="true" fillcolor="#005992" stroked="false">
              <v:fill type="solid"/>
            </v:rect>
            <v:line style="position:absolute" from="3896,1372" to="4072,1372" stroked="true" strokeweight="2.5pt" strokecolor="#005992">
              <v:stroke dashstyle="solid"/>
            </v:line>
            <v:line style="position:absolute" from="4132,1578" to="4306,1578" stroked="true" strokeweight="2.6pt" strokecolor="#005992">
              <v:stroke dashstyle="solid"/>
            </v:line>
            <v:line style="position:absolute" from="4159,1346" to="4159,1552" stroked="true" strokeweight="2.743pt" strokecolor="#005992">
              <v:stroke dashstyle="solid"/>
            </v:line>
            <v:line style="position:absolute" from="4357,1578" to="4532,1578" stroked="true" strokeweight="2.6pt" strokecolor="#005992">
              <v:stroke dashstyle="solid"/>
            </v:line>
            <v:line style="position:absolute" from="4385,1346" to="4385,1552" stroked="true" strokeweight="2.743pt" strokecolor="#005992">
              <v:stroke dashstyle="solid"/>
            </v:line>
            <v:shape style="position:absolute;left:4478;top:1770;width:54;height:53" coordorigin="4479,1771" coordsize="54,53" path="m4520,1771l4491,1771,4479,1782,4479,1812,4491,1823,4520,1823,4526,1818,4517,1818,4506,1818,4494,1818,4485,1809,4485,1785,4494,1776,4526,1776,4520,1771xm4526,1776l4517,1776,4526,1785,4526,1809,4517,1818,4526,1818,4532,1812,4532,1782,4526,1776xm4510,1784l4501,1784,4495,1784,4495,1810,4501,1810,4501,1800,4515,1800,4514,1799,4512,1798,4512,1797,4515,1796,4515,1796,4502,1796,4502,1788,4502,1788,4503,1788,4517,1788,4516,1787,4513,1784,4510,1784xm4515,1800l4508,1800,4509,1801,4510,1804,4511,1810,4512,1810,4518,1810,4518,1810,4517,1808,4516,1804,4515,1801,4515,1800xm4517,1788l4509,1788,4510,1790,4510,1795,4508,1796,4515,1796,4517,1794,4517,1788,4517,1788xe" filled="true" fillcolor="#f7921e" stroked="false">
              <v:path arrowok="t"/>
              <v:fill type="solid"/>
            </v:shape>
            <v:shapetype id="_x0000_t202" o:spt="202" coordsize="21600,21600" path="m,l,21600r21600,l21600,xe">
              <v:stroke joinstyle="miter"/>
              <v:path gradientshapeok="t" o:connecttype="rect"/>
            </v:shapetype>
            <v:shape style="position:absolute;left:0;top:0;width:6695;height:2690" type="#_x0000_t202" filled="false" stroked="false">
              <v:textbox inset="0,0,0,0">
                <w:txbxContent>
                  <w:p>
                    <w:pPr>
                      <w:spacing w:before="279"/>
                      <w:ind w:left="734" w:right="734" w:firstLine="0"/>
                      <w:jc w:val="center"/>
                      <w:rPr>
                        <w:sz w:val="24"/>
                      </w:rPr>
                    </w:pPr>
                    <w:r>
                      <w:rPr>
                        <w:color w:val="005C8E"/>
                        <w:sz w:val="24"/>
                      </w:rPr>
                      <w:t>Trust in Tomorrow.</w:t>
                    </w:r>
                    <w:r>
                      <w:rPr>
                        <w:color w:val="005C8E"/>
                        <w:position w:val="8"/>
                        <w:sz w:val="14"/>
                      </w:rPr>
                      <w:t>® </w:t>
                    </w:r>
                    <w:r>
                      <w:rPr>
                        <w:color w:val="005C8E"/>
                        <w:sz w:val="24"/>
                      </w:rPr>
                      <w:t>Contact your agent today.</w:t>
                    </w:r>
                  </w:p>
                  <w:p>
                    <w:pPr>
                      <w:spacing w:line="240" w:lineRule="auto" w:before="0"/>
                      <w:rPr>
                        <w:sz w:val="32"/>
                      </w:rPr>
                    </w:pPr>
                  </w:p>
                  <w:p>
                    <w:pPr>
                      <w:spacing w:line="240" w:lineRule="auto" w:before="0"/>
                      <w:rPr>
                        <w:sz w:val="32"/>
                      </w:rPr>
                    </w:pPr>
                  </w:p>
                  <w:p>
                    <w:pPr>
                      <w:spacing w:line="240" w:lineRule="auto" w:before="7"/>
                      <w:rPr>
                        <w:sz w:val="47"/>
                      </w:rPr>
                    </w:pPr>
                  </w:p>
                  <w:p>
                    <w:pPr>
                      <w:spacing w:before="0"/>
                      <w:ind w:left="695" w:right="734" w:firstLine="0"/>
                      <w:jc w:val="center"/>
                      <w:rPr>
                        <w:rFonts w:ascii="Lucida Sans"/>
                        <w:sz w:val="19"/>
                      </w:rPr>
                    </w:pPr>
                    <w:r>
                      <w:rPr>
                        <w:rFonts w:ascii="Lucida Sans"/>
                        <w:color w:val="F78D1E"/>
                        <w:w w:val="110"/>
                        <w:sz w:val="19"/>
                      </w:rPr>
                      <w:t>AUTO </w:t>
                    </w:r>
                    <w:r>
                      <w:rPr>
                        <w:rFonts w:ascii="Lucida Sans"/>
                        <w:color w:val="005C8E"/>
                        <w:w w:val="110"/>
                        <w:position w:val="1"/>
                        <w:sz w:val="19"/>
                      </w:rPr>
                      <w:t>| </w:t>
                    </w:r>
                    <w:r>
                      <w:rPr>
                        <w:rFonts w:ascii="Lucida Sans"/>
                        <w:color w:val="F78D1E"/>
                        <w:w w:val="110"/>
                        <w:sz w:val="19"/>
                      </w:rPr>
                      <w:t>HOME </w:t>
                    </w:r>
                    <w:r>
                      <w:rPr>
                        <w:rFonts w:ascii="Lucida Sans"/>
                        <w:color w:val="005C8E"/>
                        <w:w w:val="110"/>
                        <w:position w:val="1"/>
                        <w:sz w:val="19"/>
                      </w:rPr>
                      <w:t>| </w:t>
                    </w:r>
                    <w:r>
                      <w:rPr>
                        <w:rFonts w:ascii="Lucida Sans"/>
                        <w:color w:val="F78D1E"/>
                        <w:w w:val="110"/>
                        <w:sz w:val="19"/>
                      </w:rPr>
                      <w:t>FARM </w:t>
                    </w:r>
                    <w:r>
                      <w:rPr>
                        <w:rFonts w:ascii="Lucida Sans"/>
                        <w:color w:val="005C8E"/>
                        <w:w w:val="110"/>
                        <w:position w:val="1"/>
                        <w:sz w:val="19"/>
                      </w:rPr>
                      <w:t>| </w:t>
                    </w:r>
                    <w:r>
                      <w:rPr>
                        <w:rFonts w:ascii="Lucida Sans"/>
                        <w:color w:val="F78D1E"/>
                        <w:w w:val="110"/>
                        <w:sz w:val="19"/>
                      </w:rPr>
                      <w:t>BUSINESS</w:t>
                    </w:r>
                  </w:p>
                </w:txbxContent>
              </v:textbox>
              <w10:wrap type="none"/>
            </v:shape>
          </v:group>
        </w:pict>
      </w:r>
      <w:r>
        <w:rPr>
          <w:sz w:val="20"/>
        </w:rPr>
      </w:r>
    </w:p>
    <w:p>
      <w:pPr>
        <w:pStyle w:val="BodyText"/>
        <w:spacing w:before="4"/>
        <w:rPr>
          <w:sz w:val="13"/>
        </w:rPr>
      </w:pPr>
    </w:p>
    <w:p>
      <w:pPr>
        <w:spacing w:line="235" w:lineRule="auto" w:before="103"/>
        <w:ind w:left="2512" w:right="2545" w:firstLine="0"/>
        <w:jc w:val="left"/>
        <w:rPr>
          <w:i/>
          <w:sz w:val="12"/>
        </w:rPr>
      </w:pPr>
      <w:r>
        <w:rPr>
          <w:i/>
          <w:color w:val="636566"/>
          <w:sz w:val="12"/>
        </w:rPr>
        <w:t>The information included in this publication and program was obtained from sources believed to be reliable, however Grinnell </w:t>
      </w:r>
      <w:r>
        <w:rPr>
          <w:i/>
          <w:color w:val="636566"/>
          <w:sz w:val="12"/>
        </w:rPr>
        <w:t>Mutual makes no guarantee of results and assumes no liability in connection with its use. It is users’ responsibility to comply with any applicable regulations or laws. Information obtained from or via Grinnell Mutual should not be used as the basis for legal advice, but should be confirmed with alternative sources. </w:t>
      </w:r>
      <w:r>
        <w:rPr>
          <w:i/>
          <w:color w:val="626469"/>
          <w:sz w:val="12"/>
        </w:rPr>
        <w:t>Grinnell Mutual Reinsurance Company, Grinnell Mutual, and coordinating logos or marks are registered trademarks of Grinnell Mutual Reinsurance Company. © Grinnell Mutual Reinsurance Company, 2018.</w:t>
      </w:r>
    </w:p>
    <w:p>
      <w:pPr>
        <w:pStyle w:val="BodyText"/>
        <w:rPr>
          <w:i/>
          <w:sz w:val="20"/>
        </w:rPr>
      </w:pPr>
    </w:p>
    <w:p>
      <w:pPr>
        <w:pStyle w:val="BodyText"/>
        <w:rPr>
          <w:i/>
          <w:sz w:val="20"/>
        </w:rPr>
      </w:pPr>
    </w:p>
    <w:p>
      <w:pPr>
        <w:pStyle w:val="BodyText"/>
        <w:spacing w:before="6"/>
        <w:rPr>
          <w:i/>
          <w:sz w:val="13"/>
        </w:rPr>
      </w:pPr>
    </w:p>
    <w:p>
      <w:pPr>
        <w:spacing w:before="126"/>
        <w:ind w:left="460" w:right="0" w:firstLine="0"/>
        <w:jc w:val="left"/>
        <w:rPr>
          <w:rFonts w:ascii="Maven Pro"/>
          <w:sz w:val="16"/>
        </w:rPr>
      </w:pPr>
      <w:r>
        <w:rPr/>
        <w:pict>
          <v:rect style="position:absolute;margin-left:18pt;margin-top:19.0201pt;width:576pt;height:18pt;mso-position-horizontal-relative:page;mso-position-vertical-relative:paragraph;z-index:1288;mso-wrap-distance-left:0;mso-wrap-distance-right:0" filled="true" fillcolor="#f78d1e" stroked="false">
            <v:fill type="solid"/>
            <w10:wrap type="topAndBottom"/>
          </v:rect>
        </w:pict>
      </w:r>
      <w:r>
        <w:rPr>
          <w:rFonts w:ascii="Maven Pro"/>
          <w:color w:val="636466"/>
          <w:sz w:val="16"/>
        </w:rPr>
        <w:t>GMRC 2808 HSP (5-18)</w:t>
      </w:r>
    </w:p>
    <w:sectPr>
      <w:type w:val="continuous"/>
      <w:pgSz w:w="12240" w:h="15840"/>
      <w:pgMar w:top="360" w:bottom="0" w:left="26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Maven Pro">
    <w:altName w:val="Maven Pro"/>
    <w:charset w:val="0"/>
    <w:family w:val="modern"/>
    <w:pitch w:val="variable"/>
  </w:font>
  <w:font w:name="Open Sans Semibold">
    <w:altName w:val="Open Sans Semibold"/>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60" w:hanging="360"/>
      </w:pPr>
      <w:rPr>
        <w:rFonts w:hint="default" w:ascii="Open Sans" w:hAnsi="Open Sans" w:eastAsia="Open Sans" w:cs="Open Sans"/>
        <w:color w:val="636466"/>
        <w:w w:val="100"/>
        <w:sz w:val="19"/>
        <w:szCs w:val="19"/>
        <w:lang w:val="en-us" w:eastAsia="en-us" w:bidi="en-us"/>
      </w:rPr>
    </w:lvl>
    <w:lvl w:ilvl="1">
      <w:start w:val="0"/>
      <w:numFmt w:val="bullet"/>
      <w:lvlText w:val="•"/>
      <w:lvlJc w:val="left"/>
      <w:pPr>
        <w:ind w:left="820" w:hanging="360"/>
      </w:pPr>
      <w:rPr>
        <w:rFonts w:hint="default" w:ascii="Open Sans" w:hAnsi="Open Sans" w:eastAsia="Open Sans" w:cs="Open Sans"/>
        <w:color w:val="636466"/>
        <w:w w:val="100"/>
        <w:sz w:val="19"/>
        <w:szCs w:val="19"/>
        <w:lang w:val="en-us" w:eastAsia="en-us" w:bidi="en-us"/>
      </w:rPr>
    </w:lvl>
    <w:lvl w:ilvl="2">
      <w:start w:val="0"/>
      <w:numFmt w:val="bullet"/>
      <w:lvlText w:val="•"/>
      <w:lvlJc w:val="left"/>
      <w:pPr>
        <w:ind w:left="684" w:hanging="360"/>
      </w:pPr>
      <w:rPr>
        <w:rFonts w:hint="default"/>
        <w:lang w:val="en-us" w:eastAsia="en-us" w:bidi="en-us"/>
      </w:rPr>
    </w:lvl>
    <w:lvl w:ilvl="3">
      <w:start w:val="0"/>
      <w:numFmt w:val="bullet"/>
      <w:lvlText w:val="•"/>
      <w:lvlJc w:val="left"/>
      <w:pPr>
        <w:ind w:left="549" w:hanging="360"/>
      </w:pPr>
      <w:rPr>
        <w:rFonts w:hint="default"/>
        <w:lang w:val="en-us" w:eastAsia="en-us" w:bidi="en-us"/>
      </w:rPr>
    </w:lvl>
    <w:lvl w:ilvl="4">
      <w:start w:val="0"/>
      <w:numFmt w:val="bullet"/>
      <w:lvlText w:val="•"/>
      <w:lvlJc w:val="left"/>
      <w:pPr>
        <w:ind w:left="414" w:hanging="360"/>
      </w:pPr>
      <w:rPr>
        <w:rFonts w:hint="default"/>
        <w:lang w:val="en-us" w:eastAsia="en-us" w:bidi="en-us"/>
      </w:rPr>
    </w:lvl>
    <w:lvl w:ilvl="5">
      <w:start w:val="0"/>
      <w:numFmt w:val="bullet"/>
      <w:lvlText w:val="•"/>
      <w:lvlJc w:val="left"/>
      <w:pPr>
        <w:ind w:left="279" w:hanging="360"/>
      </w:pPr>
      <w:rPr>
        <w:rFonts w:hint="default"/>
        <w:lang w:val="en-us" w:eastAsia="en-us" w:bidi="en-us"/>
      </w:rPr>
    </w:lvl>
    <w:lvl w:ilvl="6">
      <w:start w:val="0"/>
      <w:numFmt w:val="bullet"/>
      <w:lvlText w:val="•"/>
      <w:lvlJc w:val="left"/>
      <w:pPr>
        <w:ind w:left="144" w:hanging="360"/>
      </w:pPr>
      <w:rPr>
        <w:rFonts w:hint="default"/>
        <w:lang w:val="en-us" w:eastAsia="en-us" w:bidi="en-us"/>
      </w:rPr>
    </w:lvl>
    <w:lvl w:ilvl="7">
      <w:start w:val="0"/>
      <w:numFmt w:val="bullet"/>
      <w:lvlText w:val="•"/>
      <w:lvlJc w:val="left"/>
      <w:pPr>
        <w:ind w:left="9" w:hanging="360"/>
      </w:pPr>
      <w:rPr>
        <w:rFonts w:hint="default"/>
        <w:lang w:val="en-us" w:eastAsia="en-us" w:bidi="en-us"/>
      </w:rPr>
    </w:lvl>
    <w:lvl w:ilvl="8">
      <w:start w:val="0"/>
      <w:numFmt w:val="bullet"/>
      <w:lvlText w:val="•"/>
      <w:lvlJc w:val="left"/>
      <w:pPr>
        <w:ind w:left="-126" w:hanging="360"/>
      </w:pPr>
      <w:rPr>
        <w:rFonts w:hint="default"/>
        <w:lang w:val="en-us" w:eastAsia="en-us" w:bidi="en-us"/>
      </w:rPr>
    </w:lvl>
  </w:abstractNum>
  <w:abstractNum w:abstractNumId="0">
    <w:multiLevelType w:val="hybridMultilevel"/>
    <w:lvl w:ilvl="0">
      <w:start w:val="0"/>
      <w:numFmt w:val="bullet"/>
      <w:lvlText w:val="•"/>
      <w:lvlJc w:val="left"/>
      <w:pPr>
        <w:ind w:left="640" w:hanging="180"/>
      </w:pPr>
      <w:rPr>
        <w:rFonts w:hint="default" w:ascii="Open Sans" w:hAnsi="Open Sans" w:eastAsia="Open Sans" w:cs="Open Sans"/>
        <w:color w:val="636466"/>
        <w:w w:val="100"/>
        <w:sz w:val="19"/>
        <w:szCs w:val="19"/>
        <w:lang w:val="en-us" w:eastAsia="en-us" w:bidi="en-us"/>
      </w:rPr>
    </w:lvl>
    <w:lvl w:ilvl="1">
      <w:start w:val="0"/>
      <w:numFmt w:val="bullet"/>
      <w:lvlText w:val="•"/>
      <w:lvlJc w:val="left"/>
      <w:pPr>
        <w:ind w:left="1180" w:hanging="180"/>
      </w:pPr>
      <w:rPr>
        <w:rFonts w:hint="default" w:ascii="Open Sans" w:hAnsi="Open Sans" w:eastAsia="Open Sans" w:cs="Open Sans"/>
        <w:color w:val="F7921E"/>
        <w:w w:val="100"/>
        <w:sz w:val="19"/>
        <w:szCs w:val="19"/>
        <w:lang w:val="en-us" w:eastAsia="en-us" w:bidi="en-us"/>
      </w:rPr>
    </w:lvl>
    <w:lvl w:ilvl="2">
      <w:start w:val="0"/>
      <w:numFmt w:val="bullet"/>
      <w:lvlText w:val="•"/>
      <w:lvlJc w:val="left"/>
      <w:pPr>
        <w:ind w:left="1180" w:hanging="180"/>
      </w:pPr>
      <w:rPr>
        <w:rFonts w:hint="default"/>
        <w:lang w:val="en-us" w:eastAsia="en-us" w:bidi="en-us"/>
      </w:rPr>
    </w:lvl>
    <w:lvl w:ilvl="3">
      <w:start w:val="0"/>
      <w:numFmt w:val="bullet"/>
      <w:lvlText w:val="•"/>
      <w:lvlJc w:val="left"/>
      <w:pPr>
        <w:ind w:left="960" w:hanging="180"/>
      </w:pPr>
      <w:rPr>
        <w:rFonts w:hint="default"/>
        <w:lang w:val="en-us" w:eastAsia="en-us" w:bidi="en-us"/>
      </w:rPr>
    </w:lvl>
    <w:lvl w:ilvl="4">
      <w:start w:val="0"/>
      <w:numFmt w:val="bullet"/>
      <w:lvlText w:val="•"/>
      <w:lvlJc w:val="left"/>
      <w:pPr>
        <w:ind w:left="741" w:hanging="180"/>
      </w:pPr>
      <w:rPr>
        <w:rFonts w:hint="default"/>
        <w:lang w:val="en-us" w:eastAsia="en-us" w:bidi="en-us"/>
      </w:rPr>
    </w:lvl>
    <w:lvl w:ilvl="5">
      <w:start w:val="0"/>
      <w:numFmt w:val="bullet"/>
      <w:lvlText w:val="•"/>
      <w:lvlJc w:val="left"/>
      <w:pPr>
        <w:ind w:left="521" w:hanging="180"/>
      </w:pPr>
      <w:rPr>
        <w:rFonts w:hint="default"/>
        <w:lang w:val="en-us" w:eastAsia="en-us" w:bidi="en-us"/>
      </w:rPr>
    </w:lvl>
    <w:lvl w:ilvl="6">
      <w:start w:val="0"/>
      <w:numFmt w:val="bullet"/>
      <w:lvlText w:val="•"/>
      <w:lvlJc w:val="left"/>
      <w:pPr>
        <w:ind w:left="302" w:hanging="180"/>
      </w:pPr>
      <w:rPr>
        <w:rFonts w:hint="default"/>
        <w:lang w:val="en-us" w:eastAsia="en-us" w:bidi="en-us"/>
      </w:rPr>
    </w:lvl>
    <w:lvl w:ilvl="7">
      <w:start w:val="0"/>
      <w:numFmt w:val="bullet"/>
      <w:lvlText w:val="•"/>
      <w:lvlJc w:val="left"/>
      <w:pPr>
        <w:ind w:left="82" w:hanging="180"/>
      </w:pPr>
      <w:rPr>
        <w:rFonts w:hint="default"/>
        <w:lang w:val="en-us" w:eastAsia="en-us" w:bidi="en-us"/>
      </w:rPr>
    </w:lvl>
    <w:lvl w:ilvl="8">
      <w:start w:val="0"/>
      <w:numFmt w:val="bullet"/>
      <w:lvlText w:val="•"/>
      <w:lvlJc w:val="left"/>
      <w:pPr>
        <w:ind w:left="-137" w:hanging="18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en-us"/>
    </w:rPr>
  </w:style>
  <w:style w:styleId="BodyText" w:type="paragraph">
    <w:name w:val="Body Text"/>
    <w:basedOn w:val="Normal"/>
    <w:uiPriority w:val="1"/>
    <w:qFormat/>
    <w:pPr/>
    <w:rPr>
      <w:rFonts w:ascii="Open Sans" w:hAnsi="Open Sans" w:eastAsia="Open Sans" w:cs="Open Sans"/>
      <w:sz w:val="19"/>
      <w:szCs w:val="19"/>
      <w:lang w:val="en-us" w:eastAsia="en-us" w:bidi="en-us"/>
    </w:rPr>
  </w:style>
  <w:style w:styleId="Heading1" w:type="paragraph">
    <w:name w:val="Heading 1"/>
    <w:basedOn w:val="Normal"/>
    <w:uiPriority w:val="1"/>
    <w:qFormat/>
    <w:pPr>
      <w:ind w:left="100"/>
      <w:outlineLvl w:val="1"/>
    </w:pPr>
    <w:rPr>
      <w:rFonts w:ascii="Maven Pro" w:hAnsi="Maven Pro" w:eastAsia="Maven Pro" w:cs="Maven Pro"/>
      <w:sz w:val="22"/>
      <w:szCs w:val="22"/>
      <w:lang w:val="en-us" w:eastAsia="en-us" w:bidi="en-us"/>
    </w:rPr>
  </w:style>
  <w:style w:styleId="ListParagraph" w:type="paragraph">
    <w:name w:val="List Paragraph"/>
    <w:basedOn w:val="Normal"/>
    <w:uiPriority w:val="1"/>
    <w:qFormat/>
    <w:pPr>
      <w:spacing w:before="179"/>
      <w:ind w:left="820" w:right="38" w:hanging="180"/>
    </w:pPr>
    <w:rPr>
      <w:rFonts w:ascii="Open Sans" w:hAnsi="Open Sans" w:eastAsia="Open Sans" w:cs="Open Sans"/>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2018-09-07T14:35:14Z</dcterms:created>
  <dcterms:modified xsi:type="dcterms:W3CDTF">2018-09-07T14:35:14Z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Creator">
    <vt:lpwstr>Adobe InDesign CC 13.1 (Windows)</vt:lpwstr>
  </property>
  <property fmtid="{D5CDD505-2E9C-101B-9397-08002B2CF9AE}" pid="4" name="LastSaved">
    <vt:filetime>2018-09-07T00:00:00Z</vt:filetime>
  </property>
</Properties>
</file>